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hr-HR"/>
        </w:rPr>
        <w:id w:val="71824574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10138"/>
          </w:tblGrid>
          <w:tr w:rsidR="00545024" w:rsidRPr="001F528E">
            <w:trPr>
              <w:trHeight w:val="2880"/>
              <w:jc w:val="center"/>
            </w:trPr>
            <w:tc>
              <w:tcPr>
                <w:tcW w:w="5000" w:type="pct"/>
              </w:tcPr>
              <w:p w:rsidR="00545024" w:rsidRPr="001F528E" w:rsidRDefault="007F3C26" w:rsidP="00545024">
                <w:pPr>
                  <w:pStyle w:val="NoSpacing"/>
                  <w:jc w:val="center"/>
                  <w:rPr>
                    <w:rFonts w:asciiTheme="majorHAnsi" w:eastAsiaTheme="majorEastAsia" w:hAnsiTheme="majorHAnsi" w:cstheme="majorBidi"/>
                    <w:caps/>
                    <w:lang w:val="hr-HR"/>
                  </w:rPr>
                </w:pPr>
                <w:r w:rsidRPr="001F528E">
                  <w:rPr>
                    <w:noProof/>
                    <w:sz w:val="18"/>
                    <w:szCs w:val="18"/>
                    <w:lang w:val="en-US"/>
                  </w:rPr>
                  <w:drawing>
                    <wp:anchor distT="0" distB="0" distL="114300" distR="114300" simplePos="0" relativeHeight="251659264" behindDoc="1" locked="0" layoutInCell="1" allowOverlap="1" wp14:anchorId="1A988A00" wp14:editId="68F2E06A">
                      <wp:simplePos x="0" y="0"/>
                      <wp:positionH relativeFrom="column">
                        <wp:posOffset>2142490</wp:posOffset>
                      </wp:positionH>
                      <wp:positionV relativeFrom="paragraph">
                        <wp:posOffset>651822</wp:posOffset>
                      </wp:positionV>
                      <wp:extent cx="2241197" cy="75247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keda.svg.png"/>
                              <pic:cNvPicPr/>
                            </pic:nvPicPr>
                            <pic:blipFill>
                              <a:blip r:embed="rId10">
                                <a:extLst>
                                  <a:ext uri="{28A0092B-C50C-407E-A947-70E740481C1C}">
                                    <a14:useLocalDpi xmlns:a14="http://schemas.microsoft.com/office/drawing/2010/main" val="0"/>
                                  </a:ext>
                                </a:extLst>
                              </a:blip>
                              <a:stretch>
                                <a:fillRect/>
                              </a:stretch>
                            </pic:blipFill>
                            <pic:spPr>
                              <a:xfrm>
                                <a:off x="0" y="0"/>
                                <a:ext cx="2241197" cy="752475"/>
                              </a:xfrm>
                              <a:prstGeom prst="rect">
                                <a:avLst/>
                              </a:prstGeom>
                            </pic:spPr>
                          </pic:pic>
                        </a:graphicData>
                      </a:graphic>
                      <wp14:sizeRelH relativeFrom="page">
                        <wp14:pctWidth>0</wp14:pctWidth>
                      </wp14:sizeRelH>
                      <wp14:sizeRelV relativeFrom="page">
                        <wp14:pctHeight>0</wp14:pctHeight>
                      </wp14:sizeRelV>
                    </wp:anchor>
                  </w:drawing>
                </w:r>
              </w:p>
            </w:tc>
          </w:tr>
          <w:tr w:rsidR="00545024" w:rsidRPr="001F528E">
            <w:trPr>
              <w:trHeight w:val="1440"/>
              <w:jc w:val="center"/>
            </w:trPr>
            <w:tc>
              <w:tcPr>
                <w:tcW w:w="5000" w:type="pct"/>
                <w:tcBorders>
                  <w:bottom w:val="single" w:sz="4" w:space="0" w:color="4F81BD" w:themeColor="accent1"/>
                </w:tcBorders>
                <w:vAlign w:val="center"/>
              </w:tcPr>
              <w:p w:rsidR="00274F9B" w:rsidRPr="001F528E" w:rsidRDefault="00274F9B" w:rsidP="00274F9B">
                <w:pPr>
                  <w:pStyle w:val="NoSpacing"/>
                  <w:jc w:val="center"/>
                  <w:rPr>
                    <w:sz w:val="72"/>
                    <w:szCs w:val="72"/>
                    <w:lang w:val="hr-HR"/>
                  </w:rPr>
                </w:pPr>
              </w:p>
              <w:p w:rsidR="00545024" w:rsidRPr="001F528E" w:rsidRDefault="00DC29E4" w:rsidP="00274F9B">
                <w:pPr>
                  <w:pStyle w:val="NoSpacing"/>
                  <w:jc w:val="center"/>
                  <w:rPr>
                    <w:rFonts w:asciiTheme="majorHAnsi" w:eastAsiaTheme="majorEastAsia" w:hAnsiTheme="majorHAnsi" w:cstheme="majorBidi"/>
                    <w:sz w:val="80"/>
                    <w:szCs w:val="80"/>
                    <w:lang w:val="hr-HR"/>
                  </w:rPr>
                </w:pPr>
                <w:r w:rsidRPr="001F528E">
                  <w:rPr>
                    <w:sz w:val="72"/>
                    <w:szCs w:val="72"/>
                    <w:lang w:val="hr-HR"/>
                  </w:rPr>
                  <w:t>Metodološke bilješke</w:t>
                </w:r>
              </w:p>
            </w:tc>
          </w:tr>
          <w:tr w:rsidR="00545024" w:rsidRPr="001F528E">
            <w:trPr>
              <w:trHeight w:val="720"/>
              <w:jc w:val="center"/>
            </w:trPr>
            <w:tc>
              <w:tcPr>
                <w:tcW w:w="5000" w:type="pct"/>
                <w:tcBorders>
                  <w:top w:val="single" w:sz="4" w:space="0" w:color="4F81BD" w:themeColor="accent1"/>
                </w:tcBorders>
                <w:vAlign w:val="center"/>
              </w:tcPr>
              <w:p w:rsidR="00545024" w:rsidRPr="001F528E" w:rsidRDefault="00DC29E4" w:rsidP="00F01BA0">
                <w:pPr>
                  <w:pStyle w:val="NoSpacing"/>
                  <w:jc w:val="center"/>
                  <w:rPr>
                    <w:rFonts w:asciiTheme="majorHAnsi" w:eastAsiaTheme="majorEastAsia" w:hAnsiTheme="majorHAnsi" w:cstheme="majorBidi"/>
                    <w:sz w:val="44"/>
                    <w:szCs w:val="44"/>
                    <w:lang w:val="hr-HR"/>
                  </w:rPr>
                </w:pPr>
                <w:r w:rsidRPr="001F528E">
                  <w:rPr>
                    <w:rFonts w:asciiTheme="majorHAnsi" w:eastAsiaTheme="majorEastAsia" w:hAnsiTheme="majorHAnsi" w:cstheme="majorBidi"/>
                    <w:sz w:val="44"/>
                    <w:szCs w:val="44"/>
                    <w:lang w:val="hr-HR"/>
                  </w:rPr>
                  <w:t>P</w:t>
                </w:r>
                <w:r w:rsidR="00F01BA0" w:rsidRPr="001F528E">
                  <w:rPr>
                    <w:rFonts w:asciiTheme="majorHAnsi" w:eastAsiaTheme="majorEastAsia" w:hAnsiTheme="majorHAnsi" w:cstheme="majorBidi"/>
                    <w:sz w:val="44"/>
                    <w:szCs w:val="44"/>
                    <w:lang w:val="hr-HR"/>
                  </w:rPr>
                  <w:t>opratni</w:t>
                </w:r>
                <w:r w:rsidRPr="001F528E">
                  <w:rPr>
                    <w:rFonts w:asciiTheme="majorHAnsi" w:eastAsiaTheme="majorEastAsia" w:hAnsiTheme="majorHAnsi" w:cstheme="majorBidi"/>
                    <w:sz w:val="44"/>
                    <w:szCs w:val="44"/>
                    <w:lang w:val="hr-HR"/>
                  </w:rPr>
                  <w:t xml:space="preserve"> dokument uz izvještaj o prijenosu vrijednosti zdravstvenim radnicima i zdravstvenim organizacijama </w:t>
                </w:r>
              </w:p>
            </w:tc>
          </w:tr>
          <w:tr w:rsidR="00545024" w:rsidRPr="001F528E">
            <w:trPr>
              <w:trHeight w:val="360"/>
              <w:jc w:val="center"/>
            </w:trPr>
            <w:tc>
              <w:tcPr>
                <w:tcW w:w="5000" w:type="pct"/>
                <w:vAlign w:val="center"/>
              </w:tcPr>
              <w:p w:rsidR="00545024" w:rsidRPr="001F528E" w:rsidRDefault="00545024">
                <w:pPr>
                  <w:pStyle w:val="NoSpacing"/>
                  <w:jc w:val="center"/>
                  <w:rPr>
                    <w:lang w:val="hr-HR"/>
                  </w:rPr>
                </w:pPr>
              </w:p>
            </w:tc>
          </w:tr>
          <w:tr w:rsidR="00545024" w:rsidRPr="001F528E">
            <w:trPr>
              <w:trHeight w:val="360"/>
              <w:jc w:val="center"/>
            </w:trPr>
            <w:tc>
              <w:tcPr>
                <w:tcW w:w="5000" w:type="pct"/>
                <w:vAlign w:val="center"/>
              </w:tcPr>
              <w:p w:rsidR="00545024" w:rsidRPr="001F528E" w:rsidRDefault="00545024" w:rsidP="00DC29E4">
                <w:pPr>
                  <w:pStyle w:val="NoSpacing"/>
                  <w:jc w:val="center"/>
                  <w:rPr>
                    <w:b/>
                    <w:bCs/>
                    <w:color w:val="FF0000"/>
                    <w:lang w:val="hr-HR"/>
                  </w:rPr>
                </w:pPr>
                <w:r w:rsidRPr="001F528E">
                  <w:rPr>
                    <w:b/>
                    <w:bCs/>
                    <w:lang w:val="hr-HR"/>
                  </w:rPr>
                  <w:t>Takeda</w:t>
                </w:r>
                <w:r w:rsidR="00DC29E4" w:rsidRPr="001F528E">
                  <w:rPr>
                    <w:b/>
                    <w:bCs/>
                    <w:lang w:val="hr-HR"/>
                  </w:rPr>
                  <w:t xml:space="preserve"> </w:t>
                </w:r>
                <w:proofErr w:type="spellStart"/>
                <w:r w:rsidR="00DC29E4" w:rsidRPr="001F528E">
                  <w:rPr>
                    <w:b/>
                    <w:bCs/>
                    <w:lang w:val="hr-HR"/>
                  </w:rPr>
                  <w:t>Pharmaceuticals</w:t>
                </w:r>
                <w:proofErr w:type="spellEnd"/>
                <w:r w:rsidR="00DC29E4" w:rsidRPr="001F528E">
                  <w:rPr>
                    <w:b/>
                    <w:bCs/>
                    <w:lang w:val="hr-HR"/>
                  </w:rPr>
                  <w:t xml:space="preserve"> Croatia d.o.o.</w:t>
                </w:r>
              </w:p>
            </w:tc>
          </w:tr>
          <w:tr w:rsidR="00545024" w:rsidRPr="001F528E">
            <w:trPr>
              <w:trHeight w:val="360"/>
              <w:jc w:val="center"/>
            </w:trPr>
            <w:tc>
              <w:tcPr>
                <w:tcW w:w="5000" w:type="pct"/>
                <w:vAlign w:val="center"/>
              </w:tcPr>
              <w:p w:rsidR="00545024" w:rsidRPr="001F528E" w:rsidRDefault="00DC29E4" w:rsidP="00744432">
                <w:pPr>
                  <w:pStyle w:val="NoSpacing"/>
                  <w:jc w:val="center"/>
                  <w:rPr>
                    <w:b/>
                    <w:bCs/>
                    <w:lang w:val="hr-HR"/>
                  </w:rPr>
                </w:pPr>
                <w:r w:rsidRPr="001F528E">
                  <w:rPr>
                    <w:b/>
                    <w:bCs/>
                    <w:lang w:val="hr-HR"/>
                  </w:rPr>
                  <w:t>Datum pripreme</w:t>
                </w:r>
                <w:r w:rsidR="007F3C26" w:rsidRPr="001F528E">
                  <w:rPr>
                    <w:b/>
                    <w:bCs/>
                    <w:lang w:val="hr-HR"/>
                  </w:rPr>
                  <w:t xml:space="preserve"> : </w:t>
                </w:r>
                <w:r w:rsidR="00744432">
                  <w:rPr>
                    <w:b/>
                    <w:bCs/>
                    <w:lang w:val="hr-HR"/>
                  </w:rPr>
                  <w:t>11</w:t>
                </w:r>
                <w:r w:rsidR="007F3C26" w:rsidRPr="001F528E">
                  <w:rPr>
                    <w:b/>
                    <w:bCs/>
                    <w:lang w:val="hr-HR"/>
                  </w:rPr>
                  <w:t>/</w:t>
                </w:r>
                <w:r w:rsidRPr="001F528E">
                  <w:rPr>
                    <w:b/>
                    <w:bCs/>
                    <w:lang w:val="hr-HR"/>
                  </w:rPr>
                  <w:t>06</w:t>
                </w:r>
                <w:r w:rsidR="007F3C26" w:rsidRPr="001F528E">
                  <w:rPr>
                    <w:b/>
                    <w:bCs/>
                    <w:lang w:val="hr-HR"/>
                  </w:rPr>
                  <w:t>/201</w:t>
                </w:r>
                <w:r w:rsidR="00744432">
                  <w:rPr>
                    <w:b/>
                    <w:bCs/>
                    <w:lang w:val="hr-HR"/>
                  </w:rPr>
                  <w:t>9</w:t>
                </w:r>
              </w:p>
            </w:tc>
          </w:tr>
        </w:tbl>
        <w:p w:rsidR="00545024" w:rsidRPr="001F528E" w:rsidRDefault="00545024">
          <w:pPr>
            <w:rPr>
              <w:lang w:val="hr-HR"/>
            </w:rPr>
          </w:pPr>
        </w:p>
        <w:p w:rsidR="00545024" w:rsidRPr="001F528E" w:rsidRDefault="00545024">
          <w:pPr>
            <w:rPr>
              <w:lang w:val="hr-HR"/>
            </w:rPr>
          </w:pPr>
        </w:p>
        <w:p w:rsidR="00545024" w:rsidRPr="001F528E" w:rsidRDefault="00545024">
          <w:pPr>
            <w:rPr>
              <w:rFonts w:eastAsiaTheme="majorEastAsia" w:cstheme="majorBidi"/>
              <w:color w:val="17365D" w:themeColor="text2" w:themeShade="BF"/>
              <w:spacing w:val="5"/>
              <w:kern w:val="28"/>
              <w:sz w:val="52"/>
              <w:szCs w:val="52"/>
              <w:lang w:val="hr-HR"/>
            </w:rPr>
          </w:pPr>
          <w:r w:rsidRPr="001F528E">
            <w:rPr>
              <w:lang w:val="hr-HR"/>
            </w:rPr>
            <w:br w:type="page"/>
          </w:r>
        </w:p>
      </w:sdtContent>
    </w:sdt>
    <w:p w:rsidR="00BA6C33" w:rsidRPr="001F528E" w:rsidRDefault="00F01BA0" w:rsidP="004525A3">
      <w:pPr>
        <w:pStyle w:val="Title"/>
        <w:jc w:val="both"/>
        <w:rPr>
          <w:rFonts w:asciiTheme="minorHAnsi" w:hAnsiTheme="minorHAnsi"/>
          <w:lang w:val="hr-HR"/>
        </w:rPr>
      </w:pPr>
      <w:r w:rsidRPr="001F528E">
        <w:rPr>
          <w:rFonts w:asciiTheme="minorHAnsi" w:hAnsiTheme="minorHAnsi"/>
          <w:lang w:val="hr-HR"/>
        </w:rPr>
        <w:lastRenderedPageBreak/>
        <w:t>Met</w:t>
      </w:r>
      <w:r w:rsidR="00DD5ACA" w:rsidRPr="001F528E">
        <w:rPr>
          <w:rFonts w:asciiTheme="minorHAnsi" w:hAnsiTheme="minorHAnsi"/>
          <w:lang w:val="hr-HR"/>
        </w:rPr>
        <w:t>odolo</w:t>
      </w:r>
      <w:r w:rsidRPr="001F528E">
        <w:rPr>
          <w:rFonts w:asciiTheme="minorHAnsi" w:hAnsiTheme="minorHAnsi"/>
          <w:lang w:val="hr-HR"/>
        </w:rPr>
        <w:t>ške bilješke</w:t>
      </w:r>
      <w:r w:rsidR="008F02B9" w:rsidRPr="001F528E">
        <w:rPr>
          <w:rFonts w:asciiTheme="minorHAnsi" w:hAnsiTheme="minorHAnsi"/>
          <w:lang w:val="hr-HR"/>
        </w:rPr>
        <w:t xml:space="preserve"> </w:t>
      </w:r>
      <w:r w:rsidRPr="001F528E">
        <w:rPr>
          <w:rFonts w:asciiTheme="minorHAnsi" w:hAnsiTheme="minorHAnsi"/>
          <w:lang w:val="hr-HR"/>
        </w:rPr>
        <w:t xml:space="preserve">za </w:t>
      </w:r>
      <w:r w:rsidR="00AE652C" w:rsidRPr="001F528E">
        <w:rPr>
          <w:rFonts w:asciiTheme="minorHAnsi" w:hAnsiTheme="minorHAnsi"/>
          <w:lang w:val="hr-HR"/>
        </w:rPr>
        <w:t>201</w:t>
      </w:r>
      <w:r w:rsidR="00744432">
        <w:rPr>
          <w:rFonts w:asciiTheme="minorHAnsi" w:hAnsiTheme="minorHAnsi"/>
          <w:lang w:val="hr-HR"/>
        </w:rPr>
        <w:t>8</w:t>
      </w:r>
      <w:r w:rsidRPr="001F528E">
        <w:rPr>
          <w:rFonts w:asciiTheme="minorHAnsi" w:hAnsiTheme="minorHAnsi"/>
          <w:lang w:val="hr-HR"/>
        </w:rPr>
        <w:t>.</w:t>
      </w:r>
    </w:p>
    <w:bookmarkStart w:id="0" w:name="_Toc311393058"/>
    <w:p w:rsidR="002E22B3" w:rsidRDefault="006A2EFC" w:rsidP="002E22B3">
      <w:pPr>
        <w:pStyle w:val="TOC1"/>
        <w:tabs>
          <w:tab w:val="clear" w:pos="8290"/>
          <w:tab w:val="right" w:leader="dot" w:pos="8364"/>
        </w:tabs>
        <w:rPr>
          <w:rFonts w:asciiTheme="minorHAnsi" w:hAnsiTheme="minorHAnsi"/>
          <w:b w:val="0"/>
          <w:noProof/>
          <w:color w:val="auto"/>
          <w:sz w:val="22"/>
          <w:szCs w:val="22"/>
          <w:lang w:eastAsia="en-GB"/>
        </w:rPr>
      </w:pPr>
      <w:r w:rsidRPr="001F528E">
        <w:rPr>
          <w:rFonts w:asciiTheme="minorHAnsi" w:hAnsiTheme="minorHAnsi"/>
          <w:lang w:val="hr-HR"/>
        </w:rPr>
        <w:fldChar w:fldCharType="begin"/>
      </w:r>
      <w:r w:rsidRPr="001F528E">
        <w:rPr>
          <w:rFonts w:asciiTheme="minorHAnsi" w:hAnsiTheme="minorHAnsi"/>
          <w:lang w:val="hr-HR"/>
        </w:rPr>
        <w:instrText xml:space="preserve"> TOC \o "1-3" </w:instrText>
      </w:r>
      <w:r w:rsidRPr="001F528E">
        <w:rPr>
          <w:rFonts w:asciiTheme="minorHAnsi" w:hAnsiTheme="minorHAnsi"/>
          <w:lang w:val="hr-HR"/>
        </w:rPr>
        <w:fldChar w:fldCharType="separate"/>
      </w:r>
      <w:r w:rsidR="002E22B3" w:rsidRPr="00573EFD">
        <w:rPr>
          <w:rFonts w:asciiTheme="minorHAnsi" w:hAnsiTheme="minorHAnsi"/>
          <w:noProof/>
          <w:lang w:val="hr-HR"/>
        </w:rPr>
        <w:t>1.</w:t>
      </w:r>
      <w:r w:rsidR="002E22B3">
        <w:rPr>
          <w:rFonts w:asciiTheme="minorHAnsi" w:hAnsiTheme="minorHAnsi"/>
          <w:b w:val="0"/>
          <w:noProof/>
          <w:color w:val="auto"/>
          <w:sz w:val="22"/>
          <w:szCs w:val="22"/>
          <w:lang w:eastAsia="en-GB"/>
        </w:rPr>
        <w:tab/>
      </w:r>
      <w:r w:rsidR="002E22B3" w:rsidRPr="00573EFD">
        <w:rPr>
          <w:rFonts w:asciiTheme="minorHAnsi" w:hAnsiTheme="minorHAnsi"/>
          <w:noProof/>
          <w:lang w:val="hr-HR"/>
        </w:rPr>
        <w:t>Uvod</w:t>
      </w:r>
      <w:r w:rsidR="002E22B3">
        <w:rPr>
          <w:noProof/>
        </w:rPr>
        <w:tab/>
      </w:r>
      <w:r w:rsidR="002E22B3">
        <w:rPr>
          <w:noProof/>
        </w:rPr>
        <w:fldChar w:fldCharType="begin"/>
      </w:r>
      <w:r w:rsidR="002E22B3">
        <w:rPr>
          <w:noProof/>
        </w:rPr>
        <w:instrText xml:space="preserve"> PAGEREF _Toc478984355 \h </w:instrText>
      </w:r>
      <w:r w:rsidR="002E22B3">
        <w:rPr>
          <w:noProof/>
        </w:rPr>
      </w:r>
      <w:r w:rsidR="002E22B3">
        <w:rPr>
          <w:noProof/>
        </w:rPr>
        <w:fldChar w:fldCharType="separate"/>
      </w:r>
      <w:r w:rsidR="00861066">
        <w:rPr>
          <w:noProof/>
        </w:rPr>
        <w:t>3</w:t>
      </w:r>
      <w:r w:rsidR="002E22B3">
        <w:rPr>
          <w:noProof/>
        </w:rPr>
        <w:fldChar w:fldCharType="end"/>
      </w:r>
    </w:p>
    <w:p w:rsidR="002E22B3" w:rsidRDefault="002E22B3" w:rsidP="002E22B3">
      <w:pPr>
        <w:pStyle w:val="TOC1"/>
        <w:tabs>
          <w:tab w:val="clear" w:pos="8290"/>
          <w:tab w:val="right" w:leader="dot" w:pos="8364"/>
        </w:tabs>
        <w:rPr>
          <w:rFonts w:asciiTheme="minorHAnsi" w:hAnsiTheme="minorHAnsi"/>
          <w:b w:val="0"/>
          <w:noProof/>
          <w:color w:val="auto"/>
          <w:sz w:val="22"/>
          <w:szCs w:val="22"/>
          <w:lang w:eastAsia="en-GB"/>
        </w:rPr>
      </w:pPr>
      <w:r w:rsidRPr="00573EFD">
        <w:rPr>
          <w:rFonts w:asciiTheme="minorHAnsi" w:hAnsiTheme="minorHAnsi"/>
          <w:noProof/>
          <w:lang w:val="hr-HR"/>
        </w:rPr>
        <w:t>2.</w:t>
      </w:r>
      <w:r>
        <w:rPr>
          <w:rFonts w:asciiTheme="minorHAnsi" w:hAnsiTheme="minorHAnsi"/>
          <w:b w:val="0"/>
          <w:noProof/>
          <w:color w:val="auto"/>
          <w:sz w:val="22"/>
          <w:szCs w:val="22"/>
          <w:lang w:eastAsia="en-GB"/>
        </w:rPr>
        <w:tab/>
      </w:r>
      <w:r w:rsidRPr="00573EFD">
        <w:rPr>
          <w:rFonts w:asciiTheme="minorHAnsi" w:hAnsiTheme="minorHAnsi"/>
          <w:noProof/>
          <w:lang w:val="hr-HR"/>
        </w:rPr>
        <w:t>Predmet objave</w:t>
      </w:r>
      <w:r>
        <w:rPr>
          <w:noProof/>
        </w:rPr>
        <w:tab/>
      </w:r>
      <w:r>
        <w:rPr>
          <w:noProof/>
        </w:rPr>
        <w:fldChar w:fldCharType="begin"/>
      </w:r>
      <w:r>
        <w:rPr>
          <w:noProof/>
        </w:rPr>
        <w:instrText xml:space="preserve"> PAGEREF _Toc478984356 \h </w:instrText>
      </w:r>
      <w:r>
        <w:rPr>
          <w:noProof/>
        </w:rPr>
      </w:r>
      <w:r>
        <w:rPr>
          <w:noProof/>
        </w:rPr>
        <w:fldChar w:fldCharType="separate"/>
      </w:r>
      <w:r w:rsidR="00861066">
        <w:rPr>
          <w:noProof/>
        </w:rPr>
        <w:t>3</w:t>
      </w:r>
      <w:r>
        <w:rPr>
          <w:noProof/>
        </w:rPr>
        <w:fldChar w:fldCharType="end"/>
      </w:r>
    </w:p>
    <w:p w:rsidR="002E22B3" w:rsidRDefault="002E22B3" w:rsidP="002E22B3">
      <w:pPr>
        <w:pStyle w:val="TOC2"/>
        <w:rPr>
          <w:noProof/>
          <w:lang w:eastAsia="en-GB"/>
        </w:rPr>
      </w:pPr>
      <w:r w:rsidRPr="00573EFD">
        <w:rPr>
          <w:noProof/>
          <w:lang w:val="hr-HR"/>
        </w:rPr>
        <w:t>2.1.</w:t>
      </w:r>
      <w:r>
        <w:rPr>
          <w:noProof/>
          <w:lang w:eastAsia="en-GB"/>
        </w:rPr>
        <w:tab/>
      </w:r>
      <w:r w:rsidRPr="00573EFD">
        <w:rPr>
          <w:noProof/>
          <w:lang w:val="hr-HR"/>
        </w:rPr>
        <w:t>Primatelji</w:t>
      </w:r>
      <w:r>
        <w:rPr>
          <w:noProof/>
        </w:rPr>
        <w:tab/>
      </w:r>
      <w:r>
        <w:rPr>
          <w:noProof/>
        </w:rPr>
        <w:fldChar w:fldCharType="begin"/>
      </w:r>
      <w:r>
        <w:rPr>
          <w:noProof/>
        </w:rPr>
        <w:instrText xml:space="preserve"> PAGEREF _Toc478984357 \h </w:instrText>
      </w:r>
      <w:r>
        <w:rPr>
          <w:noProof/>
        </w:rPr>
      </w:r>
      <w:r>
        <w:rPr>
          <w:noProof/>
        </w:rPr>
        <w:fldChar w:fldCharType="separate"/>
      </w:r>
      <w:r w:rsidR="00861066">
        <w:rPr>
          <w:noProof/>
        </w:rPr>
        <w:t>3</w:t>
      </w:r>
      <w:r>
        <w:rPr>
          <w:noProof/>
        </w:rPr>
        <w:fldChar w:fldCharType="end"/>
      </w:r>
    </w:p>
    <w:p w:rsidR="002E22B3" w:rsidRDefault="002E22B3" w:rsidP="006045CD">
      <w:pPr>
        <w:pStyle w:val="TOC3"/>
        <w:rPr>
          <w:noProof/>
          <w:lang w:eastAsia="en-GB"/>
        </w:rPr>
      </w:pPr>
      <w:r w:rsidRPr="00573EFD">
        <w:rPr>
          <w:noProof/>
          <w:lang w:val="hr-HR"/>
        </w:rPr>
        <w:t>2.1.1.</w:t>
      </w:r>
      <w:r>
        <w:rPr>
          <w:noProof/>
          <w:lang w:eastAsia="en-GB"/>
        </w:rPr>
        <w:tab/>
      </w:r>
      <w:r w:rsidRPr="00573EFD">
        <w:rPr>
          <w:noProof/>
          <w:lang w:val="hr-HR"/>
        </w:rPr>
        <w:t>Zdravstveni radnici:  definicija</w:t>
      </w:r>
      <w:r>
        <w:rPr>
          <w:noProof/>
        </w:rPr>
        <w:tab/>
      </w:r>
      <w:r>
        <w:rPr>
          <w:noProof/>
        </w:rPr>
        <w:fldChar w:fldCharType="begin"/>
      </w:r>
      <w:r>
        <w:rPr>
          <w:noProof/>
        </w:rPr>
        <w:instrText xml:space="preserve"> PAGEREF _Toc478984358 \h </w:instrText>
      </w:r>
      <w:r>
        <w:rPr>
          <w:noProof/>
        </w:rPr>
      </w:r>
      <w:r>
        <w:rPr>
          <w:noProof/>
        </w:rPr>
        <w:fldChar w:fldCharType="separate"/>
      </w:r>
      <w:r w:rsidR="00861066">
        <w:rPr>
          <w:noProof/>
        </w:rPr>
        <w:t>3</w:t>
      </w:r>
      <w:r>
        <w:rPr>
          <w:noProof/>
        </w:rPr>
        <w:fldChar w:fldCharType="end"/>
      </w:r>
    </w:p>
    <w:p w:rsidR="002E22B3" w:rsidRDefault="002E22B3" w:rsidP="006045CD">
      <w:pPr>
        <w:pStyle w:val="TOC3"/>
        <w:rPr>
          <w:noProof/>
          <w:lang w:eastAsia="en-GB"/>
        </w:rPr>
      </w:pPr>
      <w:r w:rsidRPr="00573EFD">
        <w:rPr>
          <w:noProof/>
          <w:lang w:val="hr-HR"/>
        </w:rPr>
        <w:t>2.1.2.</w:t>
      </w:r>
      <w:r>
        <w:rPr>
          <w:noProof/>
          <w:lang w:eastAsia="en-GB"/>
        </w:rPr>
        <w:tab/>
      </w:r>
      <w:r w:rsidRPr="00573EFD">
        <w:rPr>
          <w:noProof/>
          <w:lang w:val="hr-HR"/>
        </w:rPr>
        <w:t>Zdravstvene organizacije: definicija</w:t>
      </w:r>
      <w:r>
        <w:rPr>
          <w:noProof/>
        </w:rPr>
        <w:tab/>
      </w:r>
      <w:r>
        <w:rPr>
          <w:noProof/>
        </w:rPr>
        <w:fldChar w:fldCharType="begin"/>
      </w:r>
      <w:r>
        <w:rPr>
          <w:noProof/>
        </w:rPr>
        <w:instrText xml:space="preserve"> PAGEREF _Toc478984359 \h </w:instrText>
      </w:r>
      <w:r>
        <w:rPr>
          <w:noProof/>
        </w:rPr>
      </w:r>
      <w:r>
        <w:rPr>
          <w:noProof/>
        </w:rPr>
        <w:fldChar w:fldCharType="separate"/>
      </w:r>
      <w:r w:rsidR="00861066">
        <w:rPr>
          <w:noProof/>
        </w:rPr>
        <w:t>3</w:t>
      </w:r>
      <w:r>
        <w:rPr>
          <w:noProof/>
        </w:rPr>
        <w:fldChar w:fldCharType="end"/>
      </w:r>
    </w:p>
    <w:p w:rsidR="002E22B3" w:rsidRDefault="002E22B3" w:rsidP="006045CD">
      <w:pPr>
        <w:pStyle w:val="TOC3"/>
        <w:rPr>
          <w:noProof/>
          <w:lang w:eastAsia="en-GB"/>
        </w:rPr>
      </w:pPr>
      <w:r w:rsidRPr="00573EFD">
        <w:rPr>
          <w:noProof/>
          <w:lang w:val="hr-HR"/>
        </w:rPr>
        <w:t>2.1.3.</w:t>
      </w:r>
      <w:r>
        <w:rPr>
          <w:noProof/>
          <w:lang w:eastAsia="en-GB"/>
        </w:rPr>
        <w:tab/>
      </w:r>
      <w:r w:rsidRPr="00573EFD">
        <w:rPr>
          <w:noProof/>
          <w:lang w:val="hr-HR"/>
        </w:rPr>
        <w:t>Pravne osobe u vlasništvu zdravstvenih radnika</w:t>
      </w:r>
      <w:r>
        <w:rPr>
          <w:noProof/>
        </w:rPr>
        <w:tab/>
      </w:r>
      <w:r>
        <w:rPr>
          <w:noProof/>
        </w:rPr>
        <w:fldChar w:fldCharType="begin"/>
      </w:r>
      <w:r>
        <w:rPr>
          <w:noProof/>
        </w:rPr>
        <w:instrText xml:space="preserve"> PAGEREF _Toc478984360 \h </w:instrText>
      </w:r>
      <w:r>
        <w:rPr>
          <w:noProof/>
        </w:rPr>
      </w:r>
      <w:r>
        <w:rPr>
          <w:noProof/>
        </w:rPr>
        <w:fldChar w:fldCharType="separate"/>
      </w:r>
      <w:r w:rsidR="00861066">
        <w:rPr>
          <w:noProof/>
        </w:rPr>
        <w:t>3</w:t>
      </w:r>
      <w:r>
        <w:rPr>
          <w:noProof/>
        </w:rPr>
        <w:fldChar w:fldCharType="end"/>
      </w:r>
    </w:p>
    <w:p w:rsidR="002E22B3" w:rsidRDefault="002E22B3" w:rsidP="006045CD">
      <w:pPr>
        <w:pStyle w:val="TOC3"/>
        <w:rPr>
          <w:noProof/>
          <w:lang w:eastAsia="en-GB"/>
        </w:rPr>
      </w:pPr>
      <w:r w:rsidRPr="00573EFD">
        <w:rPr>
          <w:noProof/>
          <w:lang w:val="hr-HR"/>
        </w:rPr>
        <w:t>2.1.4.</w:t>
      </w:r>
      <w:r>
        <w:rPr>
          <w:noProof/>
          <w:lang w:eastAsia="en-GB"/>
        </w:rPr>
        <w:tab/>
      </w:r>
      <w:r w:rsidRPr="00573EFD">
        <w:rPr>
          <w:noProof/>
          <w:lang w:val="hr-HR"/>
        </w:rPr>
        <w:t>Jasno identificiran primatelj</w:t>
      </w:r>
      <w:r>
        <w:rPr>
          <w:noProof/>
        </w:rPr>
        <w:tab/>
      </w:r>
      <w:r>
        <w:rPr>
          <w:noProof/>
        </w:rPr>
        <w:fldChar w:fldCharType="begin"/>
      </w:r>
      <w:r>
        <w:rPr>
          <w:noProof/>
        </w:rPr>
        <w:instrText xml:space="preserve"> PAGEREF _Toc478984361 \h </w:instrText>
      </w:r>
      <w:r>
        <w:rPr>
          <w:noProof/>
        </w:rPr>
      </w:r>
      <w:r>
        <w:rPr>
          <w:noProof/>
        </w:rPr>
        <w:fldChar w:fldCharType="separate"/>
      </w:r>
      <w:r w:rsidR="00861066">
        <w:rPr>
          <w:noProof/>
        </w:rPr>
        <w:t>3</w:t>
      </w:r>
      <w:r>
        <w:rPr>
          <w:noProof/>
        </w:rPr>
        <w:fldChar w:fldCharType="end"/>
      </w:r>
    </w:p>
    <w:p w:rsidR="002E22B3" w:rsidRDefault="002E22B3" w:rsidP="002E22B3">
      <w:pPr>
        <w:pStyle w:val="TOC2"/>
        <w:rPr>
          <w:noProof/>
          <w:lang w:eastAsia="en-GB"/>
        </w:rPr>
      </w:pPr>
      <w:r w:rsidRPr="00573EFD">
        <w:rPr>
          <w:noProof/>
          <w:lang w:val="hr-HR"/>
        </w:rPr>
        <w:t>2.2.</w:t>
      </w:r>
      <w:r>
        <w:rPr>
          <w:noProof/>
          <w:lang w:eastAsia="en-GB"/>
        </w:rPr>
        <w:tab/>
      </w:r>
      <w:r w:rsidRPr="00573EFD">
        <w:rPr>
          <w:noProof/>
          <w:lang w:val="hr-HR"/>
        </w:rPr>
        <w:t>Proizvodi</w:t>
      </w:r>
      <w:r>
        <w:rPr>
          <w:noProof/>
        </w:rPr>
        <w:tab/>
      </w:r>
      <w:r>
        <w:rPr>
          <w:noProof/>
        </w:rPr>
        <w:fldChar w:fldCharType="begin"/>
      </w:r>
      <w:r>
        <w:rPr>
          <w:noProof/>
        </w:rPr>
        <w:instrText xml:space="preserve"> PAGEREF _Toc478984362 \h </w:instrText>
      </w:r>
      <w:r>
        <w:rPr>
          <w:noProof/>
        </w:rPr>
      </w:r>
      <w:r>
        <w:rPr>
          <w:noProof/>
        </w:rPr>
        <w:fldChar w:fldCharType="separate"/>
      </w:r>
      <w:r w:rsidR="00861066">
        <w:rPr>
          <w:noProof/>
        </w:rPr>
        <w:t>4</w:t>
      </w:r>
      <w:r>
        <w:rPr>
          <w:noProof/>
        </w:rPr>
        <w:fldChar w:fldCharType="end"/>
      </w:r>
    </w:p>
    <w:p w:rsidR="002E22B3" w:rsidRDefault="002E22B3" w:rsidP="002E22B3">
      <w:pPr>
        <w:pStyle w:val="TOC2"/>
        <w:rPr>
          <w:noProof/>
          <w:lang w:eastAsia="en-GB"/>
        </w:rPr>
      </w:pPr>
      <w:r w:rsidRPr="00573EFD">
        <w:rPr>
          <w:noProof/>
          <w:lang w:val="hr-HR"/>
        </w:rPr>
        <w:t>2.3</w:t>
      </w:r>
      <w:r>
        <w:rPr>
          <w:noProof/>
          <w:lang w:eastAsia="en-GB"/>
        </w:rPr>
        <w:tab/>
      </w:r>
      <w:r w:rsidRPr="00573EFD">
        <w:rPr>
          <w:noProof/>
          <w:lang w:val="hr-HR"/>
        </w:rPr>
        <w:t>Aktivnosti</w:t>
      </w:r>
      <w:r>
        <w:rPr>
          <w:noProof/>
        </w:rPr>
        <w:tab/>
      </w:r>
      <w:r>
        <w:rPr>
          <w:noProof/>
        </w:rPr>
        <w:fldChar w:fldCharType="begin"/>
      </w:r>
      <w:r>
        <w:rPr>
          <w:noProof/>
        </w:rPr>
        <w:instrText xml:space="preserve"> PAGEREF _Toc478984363 \h </w:instrText>
      </w:r>
      <w:r>
        <w:rPr>
          <w:noProof/>
        </w:rPr>
      </w:r>
      <w:r>
        <w:rPr>
          <w:noProof/>
        </w:rPr>
        <w:fldChar w:fldCharType="separate"/>
      </w:r>
      <w:r w:rsidR="00861066">
        <w:rPr>
          <w:noProof/>
        </w:rPr>
        <w:t>4</w:t>
      </w:r>
      <w:r>
        <w:rPr>
          <w:noProof/>
        </w:rPr>
        <w:fldChar w:fldCharType="end"/>
      </w:r>
    </w:p>
    <w:p w:rsidR="002E22B3" w:rsidRDefault="002E22B3" w:rsidP="006045CD">
      <w:pPr>
        <w:pStyle w:val="TOC3"/>
        <w:rPr>
          <w:noProof/>
          <w:lang w:eastAsia="en-GB"/>
        </w:rPr>
      </w:pPr>
      <w:r w:rsidRPr="00573EFD">
        <w:rPr>
          <w:noProof/>
          <w:lang w:val="hr-HR"/>
        </w:rPr>
        <w:t>2.3.1</w:t>
      </w:r>
      <w:r>
        <w:rPr>
          <w:noProof/>
          <w:lang w:eastAsia="en-GB"/>
        </w:rPr>
        <w:tab/>
      </w:r>
      <w:r w:rsidRPr="00573EFD">
        <w:rPr>
          <w:noProof/>
          <w:lang w:val="hr-HR"/>
        </w:rPr>
        <w:t>Donacije zdravstvenim organizacijama</w:t>
      </w:r>
      <w:r>
        <w:rPr>
          <w:noProof/>
        </w:rPr>
        <w:tab/>
      </w:r>
      <w:r>
        <w:rPr>
          <w:noProof/>
        </w:rPr>
        <w:fldChar w:fldCharType="begin"/>
      </w:r>
      <w:r>
        <w:rPr>
          <w:noProof/>
        </w:rPr>
        <w:instrText xml:space="preserve"> PAGEREF _Toc478984364 \h </w:instrText>
      </w:r>
      <w:r>
        <w:rPr>
          <w:noProof/>
        </w:rPr>
      </w:r>
      <w:r>
        <w:rPr>
          <w:noProof/>
        </w:rPr>
        <w:fldChar w:fldCharType="separate"/>
      </w:r>
      <w:r w:rsidR="00861066">
        <w:rPr>
          <w:noProof/>
        </w:rPr>
        <w:t>4</w:t>
      </w:r>
      <w:r>
        <w:rPr>
          <w:noProof/>
        </w:rPr>
        <w:fldChar w:fldCharType="end"/>
      </w:r>
    </w:p>
    <w:p w:rsidR="002E22B3" w:rsidRDefault="002E22B3" w:rsidP="006045CD">
      <w:pPr>
        <w:pStyle w:val="TOC3"/>
        <w:rPr>
          <w:noProof/>
          <w:lang w:eastAsia="en-GB"/>
        </w:rPr>
      </w:pPr>
      <w:r w:rsidRPr="00573EFD">
        <w:rPr>
          <w:noProof/>
          <w:lang w:val="hr-HR"/>
        </w:rPr>
        <w:t>2.3.2</w:t>
      </w:r>
      <w:r>
        <w:rPr>
          <w:noProof/>
          <w:lang w:eastAsia="en-GB"/>
        </w:rPr>
        <w:tab/>
      </w:r>
      <w:r w:rsidRPr="00573EFD">
        <w:rPr>
          <w:noProof/>
          <w:lang w:val="hr-HR"/>
        </w:rPr>
        <w:t>Pokrivanje troškova stručnih skupova i sastanaka</w:t>
      </w:r>
      <w:r>
        <w:rPr>
          <w:noProof/>
        </w:rPr>
        <w:tab/>
      </w:r>
      <w:r>
        <w:rPr>
          <w:noProof/>
        </w:rPr>
        <w:fldChar w:fldCharType="begin"/>
      </w:r>
      <w:r>
        <w:rPr>
          <w:noProof/>
        </w:rPr>
        <w:instrText xml:space="preserve"> PAGEREF _Toc478984365 \h </w:instrText>
      </w:r>
      <w:r>
        <w:rPr>
          <w:noProof/>
        </w:rPr>
      </w:r>
      <w:r>
        <w:rPr>
          <w:noProof/>
        </w:rPr>
        <w:fldChar w:fldCharType="separate"/>
      </w:r>
      <w:r w:rsidR="00861066">
        <w:rPr>
          <w:noProof/>
        </w:rPr>
        <w:t>4</w:t>
      </w:r>
      <w:r>
        <w:rPr>
          <w:noProof/>
        </w:rPr>
        <w:fldChar w:fldCharType="end"/>
      </w:r>
    </w:p>
    <w:p w:rsidR="002E22B3" w:rsidRDefault="002E22B3" w:rsidP="006045CD">
      <w:pPr>
        <w:pStyle w:val="TOC3"/>
        <w:rPr>
          <w:noProof/>
          <w:lang w:eastAsia="en-GB"/>
        </w:rPr>
      </w:pPr>
      <w:r w:rsidRPr="00573EFD">
        <w:rPr>
          <w:noProof/>
          <w:lang w:val="hr-HR"/>
        </w:rPr>
        <w:t>2.3.3</w:t>
      </w:r>
      <w:r>
        <w:rPr>
          <w:noProof/>
          <w:lang w:eastAsia="en-GB"/>
        </w:rPr>
        <w:tab/>
      </w:r>
      <w:r w:rsidRPr="00573EFD">
        <w:rPr>
          <w:noProof/>
          <w:lang w:val="hr-HR"/>
        </w:rPr>
        <w:t>Naknade za obavljene usluge i savjetovanje</w:t>
      </w:r>
      <w:r>
        <w:rPr>
          <w:noProof/>
        </w:rPr>
        <w:tab/>
      </w:r>
      <w:r>
        <w:rPr>
          <w:noProof/>
        </w:rPr>
        <w:fldChar w:fldCharType="begin"/>
      </w:r>
      <w:r>
        <w:rPr>
          <w:noProof/>
        </w:rPr>
        <w:instrText xml:space="preserve"> PAGEREF _Toc478984366 \h </w:instrText>
      </w:r>
      <w:r>
        <w:rPr>
          <w:noProof/>
        </w:rPr>
      </w:r>
      <w:r>
        <w:rPr>
          <w:noProof/>
        </w:rPr>
        <w:fldChar w:fldCharType="separate"/>
      </w:r>
      <w:r w:rsidR="00861066">
        <w:rPr>
          <w:noProof/>
        </w:rPr>
        <w:t>4</w:t>
      </w:r>
      <w:r>
        <w:rPr>
          <w:noProof/>
        </w:rPr>
        <w:fldChar w:fldCharType="end"/>
      </w:r>
    </w:p>
    <w:p w:rsidR="002E22B3" w:rsidRDefault="002E22B3" w:rsidP="006045CD">
      <w:pPr>
        <w:pStyle w:val="TOC3"/>
        <w:rPr>
          <w:noProof/>
          <w:lang w:eastAsia="en-GB"/>
        </w:rPr>
      </w:pPr>
      <w:r w:rsidRPr="00573EFD">
        <w:rPr>
          <w:noProof/>
          <w:lang w:val="hr-HR"/>
        </w:rPr>
        <w:t>2.3.4</w:t>
      </w:r>
      <w:r>
        <w:rPr>
          <w:noProof/>
          <w:lang w:eastAsia="en-GB"/>
        </w:rPr>
        <w:tab/>
      </w:r>
      <w:r w:rsidRPr="00573EFD">
        <w:rPr>
          <w:noProof/>
          <w:lang w:val="hr-HR"/>
        </w:rPr>
        <w:t>Istraživanje i razvoj</w:t>
      </w:r>
      <w:r>
        <w:rPr>
          <w:noProof/>
        </w:rPr>
        <w:tab/>
      </w:r>
      <w:r>
        <w:rPr>
          <w:noProof/>
        </w:rPr>
        <w:fldChar w:fldCharType="begin"/>
      </w:r>
      <w:r>
        <w:rPr>
          <w:noProof/>
        </w:rPr>
        <w:instrText xml:space="preserve"> PAGEREF _Toc478984367 \h </w:instrText>
      </w:r>
      <w:r>
        <w:rPr>
          <w:noProof/>
        </w:rPr>
      </w:r>
      <w:r>
        <w:rPr>
          <w:noProof/>
        </w:rPr>
        <w:fldChar w:fldCharType="separate"/>
      </w:r>
      <w:r w:rsidR="00861066">
        <w:rPr>
          <w:noProof/>
        </w:rPr>
        <w:t>5</w:t>
      </w:r>
      <w:r>
        <w:rPr>
          <w:noProof/>
        </w:rPr>
        <w:fldChar w:fldCharType="end"/>
      </w:r>
    </w:p>
    <w:p w:rsidR="002E22B3" w:rsidRDefault="002E22B3" w:rsidP="002E22B3">
      <w:pPr>
        <w:pStyle w:val="TOC2"/>
        <w:rPr>
          <w:noProof/>
          <w:lang w:eastAsia="en-GB"/>
        </w:rPr>
      </w:pPr>
      <w:r w:rsidRPr="00573EFD">
        <w:rPr>
          <w:noProof/>
          <w:lang w:val="hr-HR"/>
        </w:rPr>
        <w:t>2.4</w:t>
      </w:r>
      <w:r>
        <w:rPr>
          <w:noProof/>
          <w:lang w:eastAsia="en-GB"/>
        </w:rPr>
        <w:tab/>
      </w:r>
      <w:r w:rsidRPr="00573EFD">
        <w:rPr>
          <w:noProof/>
          <w:lang w:val="hr-HR"/>
        </w:rPr>
        <w:t>Prijenos vrijednosti u prekograničnim interakcijama</w:t>
      </w:r>
      <w:r>
        <w:rPr>
          <w:noProof/>
        </w:rPr>
        <w:tab/>
      </w:r>
      <w:r>
        <w:rPr>
          <w:noProof/>
        </w:rPr>
        <w:fldChar w:fldCharType="begin"/>
      </w:r>
      <w:r>
        <w:rPr>
          <w:noProof/>
        </w:rPr>
        <w:instrText xml:space="preserve"> PAGEREF _Toc478984368 \h </w:instrText>
      </w:r>
      <w:r>
        <w:rPr>
          <w:noProof/>
        </w:rPr>
      </w:r>
      <w:r>
        <w:rPr>
          <w:noProof/>
        </w:rPr>
        <w:fldChar w:fldCharType="separate"/>
      </w:r>
      <w:r w:rsidR="00861066">
        <w:rPr>
          <w:noProof/>
        </w:rPr>
        <w:t>6</w:t>
      </w:r>
      <w:r>
        <w:rPr>
          <w:noProof/>
        </w:rPr>
        <w:fldChar w:fldCharType="end"/>
      </w:r>
    </w:p>
    <w:p w:rsidR="002E22B3" w:rsidRDefault="002E22B3" w:rsidP="002E22B3">
      <w:pPr>
        <w:pStyle w:val="TOC1"/>
        <w:tabs>
          <w:tab w:val="clear" w:pos="8290"/>
          <w:tab w:val="right" w:leader="dot" w:pos="8364"/>
        </w:tabs>
        <w:rPr>
          <w:rFonts w:asciiTheme="minorHAnsi" w:hAnsiTheme="minorHAnsi"/>
          <w:b w:val="0"/>
          <w:noProof/>
          <w:color w:val="auto"/>
          <w:sz w:val="22"/>
          <w:szCs w:val="22"/>
          <w:lang w:eastAsia="en-GB"/>
        </w:rPr>
      </w:pPr>
      <w:r w:rsidRPr="00573EFD">
        <w:rPr>
          <w:rFonts w:asciiTheme="minorHAnsi" w:hAnsiTheme="minorHAnsi"/>
          <w:noProof/>
          <w:color w:val="4F81BD" w:themeColor="accent1"/>
          <w:lang w:val="hr-HR"/>
        </w:rPr>
        <w:t>3</w:t>
      </w:r>
      <w:r>
        <w:rPr>
          <w:rFonts w:asciiTheme="minorHAnsi" w:hAnsiTheme="minorHAnsi"/>
          <w:b w:val="0"/>
          <w:noProof/>
          <w:color w:val="auto"/>
          <w:sz w:val="22"/>
          <w:szCs w:val="22"/>
          <w:lang w:eastAsia="en-GB"/>
        </w:rPr>
        <w:tab/>
      </w:r>
      <w:r w:rsidRPr="00573EFD">
        <w:rPr>
          <w:rFonts w:asciiTheme="minorHAnsi" w:hAnsiTheme="minorHAnsi"/>
          <w:noProof/>
          <w:color w:val="4F81BD" w:themeColor="accent1"/>
          <w:lang w:val="hr-HR"/>
        </w:rPr>
        <w:t>Suglasnost za korištenje osobnih podataka i zbiran iznos</w:t>
      </w:r>
      <w:r>
        <w:rPr>
          <w:noProof/>
        </w:rPr>
        <w:tab/>
      </w:r>
      <w:r>
        <w:rPr>
          <w:noProof/>
        </w:rPr>
        <w:fldChar w:fldCharType="begin"/>
      </w:r>
      <w:r>
        <w:rPr>
          <w:noProof/>
        </w:rPr>
        <w:instrText xml:space="preserve"> PAGEREF _Toc478984369 \h </w:instrText>
      </w:r>
      <w:r>
        <w:rPr>
          <w:noProof/>
        </w:rPr>
      </w:r>
      <w:r>
        <w:rPr>
          <w:noProof/>
        </w:rPr>
        <w:fldChar w:fldCharType="separate"/>
      </w:r>
      <w:r w:rsidR="00861066">
        <w:rPr>
          <w:noProof/>
        </w:rPr>
        <w:t>6</w:t>
      </w:r>
      <w:r>
        <w:rPr>
          <w:noProof/>
        </w:rPr>
        <w:fldChar w:fldCharType="end"/>
      </w:r>
    </w:p>
    <w:p w:rsidR="002E22B3" w:rsidRDefault="002E22B3" w:rsidP="002E22B3">
      <w:pPr>
        <w:pStyle w:val="TOC1"/>
        <w:tabs>
          <w:tab w:val="clear" w:pos="8290"/>
          <w:tab w:val="right" w:leader="dot" w:pos="8364"/>
        </w:tabs>
        <w:rPr>
          <w:rFonts w:asciiTheme="minorHAnsi" w:hAnsiTheme="minorHAnsi"/>
          <w:b w:val="0"/>
          <w:noProof/>
          <w:color w:val="auto"/>
          <w:sz w:val="22"/>
          <w:szCs w:val="22"/>
          <w:lang w:eastAsia="en-GB"/>
        </w:rPr>
      </w:pPr>
      <w:r w:rsidRPr="00573EFD">
        <w:rPr>
          <w:rFonts w:asciiTheme="minorHAnsi" w:hAnsiTheme="minorHAnsi"/>
          <w:noProof/>
          <w:color w:val="4F81BD" w:themeColor="accent1"/>
          <w:lang w:val="hr-HR"/>
        </w:rPr>
        <w:t>4</w:t>
      </w:r>
      <w:r>
        <w:rPr>
          <w:rFonts w:asciiTheme="minorHAnsi" w:hAnsiTheme="minorHAnsi"/>
          <w:b w:val="0"/>
          <w:noProof/>
          <w:color w:val="auto"/>
          <w:sz w:val="22"/>
          <w:szCs w:val="22"/>
          <w:lang w:eastAsia="en-GB"/>
        </w:rPr>
        <w:tab/>
      </w:r>
      <w:r w:rsidRPr="00573EFD">
        <w:rPr>
          <w:rFonts w:asciiTheme="minorHAnsi" w:hAnsiTheme="minorHAnsi"/>
          <w:noProof/>
          <w:color w:val="4F81BD" w:themeColor="accent1"/>
          <w:lang w:val="hr-HR"/>
        </w:rPr>
        <w:t>Radne</w:t>
      </w:r>
      <w:r w:rsidRPr="00573EFD">
        <w:rPr>
          <w:noProof/>
          <w:color w:val="4F81BD" w:themeColor="accent1"/>
          <w:lang w:val="hr-HR"/>
        </w:rPr>
        <w:t xml:space="preserve"> </w:t>
      </w:r>
      <w:r w:rsidRPr="00573EFD">
        <w:rPr>
          <w:rFonts w:asciiTheme="minorHAnsi" w:hAnsiTheme="minorHAnsi"/>
          <w:noProof/>
          <w:color w:val="4F81BD" w:themeColor="accent1"/>
          <w:lang w:val="hr-HR"/>
        </w:rPr>
        <w:t>pretpostavke</w:t>
      </w:r>
      <w:r>
        <w:rPr>
          <w:noProof/>
        </w:rPr>
        <w:tab/>
      </w:r>
      <w:r>
        <w:rPr>
          <w:noProof/>
        </w:rPr>
        <w:fldChar w:fldCharType="begin"/>
      </w:r>
      <w:r>
        <w:rPr>
          <w:noProof/>
        </w:rPr>
        <w:instrText xml:space="preserve"> PAGEREF _Toc478984370 \h </w:instrText>
      </w:r>
      <w:r>
        <w:rPr>
          <w:noProof/>
        </w:rPr>
      </w:r>
      <w:r>
        <w:rPr>
          <w:noProof/>
        </w:rPr>
        <w:fldChar w:fldCharType="separate"/>
      </w:r>
      <w:r w:rsidR="00861066">
        <w:rPr>
          <w:noProof/>
        </w:rPr>
        <w:t>6</w:t>
      </w:r>
      <w:r>
        <w:rPr>
          <w:noProof/>
        </w:rPr>
        <w:fldChar w:fldCharType="end"/>
      </w:r>
    </w:p>
    <w:p w:rsidR="002E22B3" w:rsidRDefault="002E22B3" w:rsidP="002E22B3">
      <w:pPr>
        <w:pStyle w:val="TOC2"/>
        <w:rPr>
          <w:noProof/>
          <w:lang w:eastAsia="en-GB"/>
        </w:rPr>
      </w:pPr>
      <w:r w:rsidRPr="00573EFD">
        <w:rPr>
          <w:noProof/>
          <w:lang w:val="hr-HR"/>
        </w:rPr>
        <w:t>4.1</w:t>
      </w:r>
      <w:r>
        <w:rPr>
          <w:noProof/>
          <w:lang w:eastAsia="en-GB"/>
        </w:rPr>
        <w:tab/>
      </w:r>
      <w:r w:rsidRPr="00573EFD">
        <w:rPr>
          <w:noProof/>
          <w:lang w:val="hr-HR"/>
        </w:rPr>
        <w:t>Datum prijenosa vrijednosti</w:t>
      </w:r>
      <w:r>
        <w:rPr>
          <w:noProof/>
        </w:rPr>
        <w:tab/>
      </w:r>
      <w:r>
        <w:rPr>
          <w:noProof/>
        </w:rPr>
        <w:fldChar w:fldCharType="begin"/>
      </w:r>
      <w:r>
        <w:rPr>
          <w:noProof/>
        </w:rPr>
        <w:instrText xml:space="preserve"> PAGEREF _Toc478984371 \h </w:instrText>
      </w:r>
      <w:r>
        <w:rPr>
          <w:noProof/>
        </w:rPr>
      </w:r>
      <w:r>
        <w:rPr>
          <w:noProof/>
        </w:rPr>
        <w:fldChar w:fldCharType="separate"/>
      </w:r>
      <w:r w:rsidR="00861066">
        <w:rPr>
          <w:noProof/>
        </w:rPr>
        <w:t>6</w:t>
      </w:r>
      <w:r>
        <w:rPr>
          <w:noProof/>
        </w:rPr>
        <w:fldChar w:fldCharType="end"/>
      </w:r>
    </w:p>
    <w:p w:rsidR="002E22B3" w:rsidRDefault="002E22B3" w:rsidP="002E22B3">
      <w:pPr>
        <w:pStyle w:val="TOC2"/>
        <w:rPr>
          <w:noProof/>
          <w:lang w:eastAsia="en-GB"/>
        </w:rPr>
      </w:pPr>
      <w:r w:rsidRPr="00573EFD">
        <w:rPr>
          <w:noProof/>
          <w:lang w:val="hr-HR"/>
        </w:rPr>
        <w:t>4.2</w:t>
      </w:r>
      <w:r>
        <w:rPr>
          <w:noProof/>
          <w:lang w:eastAsia="en-GB"/>
        </w:rPr>
        <w:tab/>
      </w:r>
      <w:r w:rsidRPr="00573EFD">
        <w:rPr>
          <w:noProof/>
          <w:lang w:val="hr-HR"/>
        </w:rPr>
        <w:t>Valuta</w:t>
      </w:r>
      <w:r>
        <w:rPr>
          <w:noProof/>
        </w:rPr>
        <w:tab/>
      </w:r>
      <w:r>
        <w:rPr>
          <w:noProof/>
        </w:rPr>
        <w:fldChar w:fldCharType="begin"/>
      </w:r>
      <w:r>
        <w:rPr>
          <w:noProof/>
        </w:rPr>
        <w:instrText xml:space="preserve"> PAGEREF _Toc478984372 \h </w:instrText>
      </w:r>
      <w:r>
        <w:rPr>
          <w:noProof/>
        </w:rPr>
      </w:r>
      <w:r>
        <w:rPr>
          <w:noProof/>
        </w:rPr>
        <w:fldChar w:fldCharType="separate"/>
      </w:r>
      <w:r w:rsidR="00861066">
        <w:rPr>
          <w:noProof/>
        </w:rPr>
        <w:t>7</w:t>
      </w:r>
      <w:r>
        <w:rPr>
          <w:noProof/>
        </w:rPr>
        <w:fldChar w:fldCharType="end"/>
      </w:r>
    </w:p>
    <w:p w:rsidR="002E22B3" w:rsidRDefault="002E22B3">
      <w:pPr>
        <w:pStyle w:val="TOC2"/>
        <w:rPr>
          <w:noProof/>
          <w:lang w:eastAsia="en-GB"/>
        </w:rPr>
      </w:pPr>
      <w:r w:rsidRPr="00573EFD">
        <w:rPr>
          <w:noProof/>
          <w:lang w:val="hr-HR"/>
        </w:rPr>
        <w:t>4.3</w:t>
      </w:r>
      <w:r>
        <w:rPr>
          <w:noProof/>
          <w:lang w:eastAsia="en-GB"/>
        </w:rPr>
        <w:tab/>
      </w:r>
      <w:r w:rsidRPr="00573EFD">
        <w:rPr>
          <w:noProof/>
          <w:lang w:val="hr-HR"/>
        </w:rPr>
        <w:t>Porezi</w:t>
      </w:r>
      <w:r>
        <w:rPr>
          <w:noProof/>
        </w:rPr>
        <w:tab/>
      </w:r>
      <w:r>
        <w:rPr>
          <w:noProof/>
        </w:rPr>
        <w:fldChar w:fldCharType="begin"/>
      </w:r>
      <w:r>
        <w:rPr>
          <w:noProof/>
        </w:rPr>
        <w:instrText xml:space="preserve"> PAGEREF _Toc478984373 \h </w:instrText>
      </w:r>
      <w:r>
        <w:rPr>
          <w:noProof/>
        </w:rPr>
      </w:r>
      <w:r>
        <w:rPr>
          <w:noProof/>
        </w:rPr>
        <w:fldChar w:fldCharType="separate"/>
      </w:r>
      <w:r w:rsidR="00861066">
        <w:rPr>
          <w:noProof/>
        </w:rPr>
        <w:t>7</w:t>
      </w:r>
      <w:r>
        <w:rPr>
          <w:noProof/>
        </w:rPr>
        <w:fldChar w:fldCharType="end"/>
      </w:r>
    </w:p>
    <w:p w:rsidR="002E22B3" w:rsidRDefault="002E22B3" w:rsidP="006045CD">
      <w:pPr>
        <w:pStyle w:val="TOC3"/>
        <w:rPr>
          <w:noProof/>
          <w:lang w:eastAsia="en-GB"/>
        </w:rPr>
      </w:pPr>
      <w:r w:rsidRPr="00573EFD">
        <w:rPr>
          <w:noProof/>
          <w:lang w:val="hr-HR"/>
        </w:rPr>
        <w:t>4.3.1</w:t>
      </w:r>
      <w:r>
        <w:rPr>
          <w:noProof/>
          <w:lang w:eastAsia="en-GB"/>
        </w:rPr>
        <w:tab/>
      </w:r>
      <w:r w:rsidRPr="00573EFD">
        <w:rPr>
          <w:noProof/>
          <w:lang w:val="hr-HR"/>
        </w:rPr>
        <w:t>4.3.1. Porez na dodanu vrijednost (PDV)</w:t>
      </w:r>
      <w:r>
        <w:rPr>
          <w:noProof/>
        </w:rPr>
        <w:tab/>
      </w:r>
      <w:r>
        <w:rPr>
          <w:noProof/>
        </w:rPr>
        <w:fldChar w:fldCharType="begin"/>
      </w:r>
      <w:r>
        <w:rPr>
          <w:noProof/>
        </w:rPr>
        <w:instrText xml:space="preserve"> PAGEREF _Toc478984374 \h </w:instrText>
      </w:r>
      <w:r>
        <w:rPr>
          <w:noProof/>
        </w:rPr>
      </w:r>
      <w:r>
        <w:rPr>
          <w:noProof/>
        </w:rPr>
        <w:fldChar w:fldCharType="separate"/>
      </w:r>
      <w:r w:rsidR="00861066">
        <w:rPr>
          <w:noProof/>
        </w:rPr>
        <w:t>7</w:t>
      </w:r>
      <w:r>
        <w:rPr>
          <w:noProof/>
        </w:rPr>
        <w:fldChar w:fldCharType="end"/>
      </w:r>
    </w:p>
    <w:p w:rsidR="002E22B3" w:rsidRDefault="002E22B3" w:rsidP="002E22B3">
      <w:pPr>
        <w:pStyle w:val="TOC2"/>
        <w:rPr>
          <w:noProof/>
          <w:lang w:eastAsia="en-GB"/>
        </w:rPr>
      </w:pPr>
      <w:r w:rsidRPr="00573EFD">
        <w:rPr>
          <w:noProof/>
          <w:lang w:val="hr-HR"/>
        </w:rPr>
        <w:t>5</w:t>
      </w:r>
      <w:r>
        <w:rPr>
          <w:noProof/>
          <w:lang w:eastAsia="en-GB"/>
        </w:rPr>
        <w:tab/>
      </w:r>
      <w:r w:rsidRPr="00573EFD">
        <w:rPr>
          <w:noProof/>
          <w:lang w:val="hr-HR"/>
        </w:rPr>
        <w:t>Rješavanje sporova</w:t>
      </w:r>
      <w:r>
        <w:rPr>
          <w:noProof/>
        </w:rPr>
        <w:tab/>
      </w:r>
      <w:r>
        <w:rPr>
          <w:noProof/>
        </w:rPr>
        <w:fldChar w:fldCharType="begin"/>
      </w:r>
      <w:r>
        <w:rPr>
          <w:noProof/>
        </w:rPr>
        <w:instrText xml:space="preserve"> PAGEREF _Toc478984375 \h </w:instrText>
      </w:r>
      <w:r>
        <w:rPr>
          <w:noProof/>
        </w:rPr>
      </w:r>
      <w:r>
        <w:rPr>
          <w:noProof/>
        </w:rPr>
        <w:fldChar w:fldCharType="separate"/>
      </w:r>
      <w:r w:rsidR="00861066">
        <w:rPr>
          <w:noProof/>
        </w:rPr>
        <w:t>7</w:t>
      </w:r>
      <w:r>
        <w:rPr>
          <w:noProof/>
        </w:rPr>
        <w:fldChar w:fldCharType="end"/>
      </w:r>
    </w:p>
    <w:p w:rsidR="006A2EFC" w:rsidRPr="001F528E" w:rsidRDefault="006A2EFC" w:rsidP="002E22B3">
      <w:pPr>
        <w:tabs>
          <w:tab w:val="right" w:leader="dot" w:pos="8364"/>
        </w:tabs>
        <w:jc w:val="both"/>
        <w:rPr>
          <w:rFonts w:eastAsiaTheme="majorEastAsia" w:cstheme="majorBidi"/>
          <w:b/>
          <w:bCs/>
          <w:color w:val="365F91" w:themeColor="accent1" w:themeShade="BF"/>
          <w:sz w:val="28"/>
          <w:szCs w:val="28"/>
          <w:lang w:val="hr-HR"/>
        </w:rPr>
      </w:pPr>
      <w:r w:rsidRPr="001F528E">
        <w:rPr>
          <w:lang w:val="hr-HR"/>
        </w:rPr>
        <w:fldChar w:fldCharType="end"/>
      </w:r>
      <w:r w:rsidRPr="001F528E">
        <w:rPr>
          <w:lang w:val="hr-HR"/>
        </w:rPr>
        <w:br w:type="page"/>
      </w:r>
    </w:p>
    <w:p w:rsidR="00A37E5C" w:rsidRPr="001F528E" w:rsidRDefault="00DC29E4" w:rsidP="004525A3">
      <w:pPr>
        <w:pStyle w:val="Heading1"/>
        <w:numPr>
          <w:ilvl w:val="0"/>
          <w:numId w:val="5"/>
        </w:numPr>
        <w:jc w:val="both"/>
        <w:rPr>
          <w:rFonts w:asciiTheme="minorHAnsi" w:hAnsiTheme="minorHAnsi"/>
          <w:lang w:val="hr-HR"/>
        </w:rPr>
      </w:pPr>
      <w:bookmarkStart w:id="1" w:name="_Toc478984355"/>
      <w:bookmarkEnd w:id="0"/>
      <w:r w:rsidRPr="001F528E">
        <w:rPr>
          <w:rFonts w:asciiTheme="minorHAnsi" w:hAnsiTheme="minorHAnsi"/>
          <w:lang w:val="hr-HR"/>
        </w:rPr>
        <w:lastRenderedPageBreak/>
        <w:t>Uvod</w:t>
      </w:r>
      <w:bookmarkEnd w:id="1"/>
    </w:p>
    <w:p w:rsidR="00DC29E4" w:rsidRPr="001F528E" w:rsidRDefault="00DC29E4" w:rsidP="004525A3">
      <w:pPr>
        <w:jc w:val="both"/>
        <w:rPr>
          <w:rFonts w:cs="Myriad Pro"/>
          <w:color w:val="000000"/>
          <w:lang w:val="hr-HR"/>
        </w:rPr>
      </w:pPr>
      <w:r w:rsidRPr="001F528E">
        <w:rPr>
          <w:rFonts w:cs="Myriad Pro"/>
          <w:color w:val="000000"/>
          <w:lang w:val="hr-HR"/>
        </w:rPr>
        <w:t>Suradnja inovativne industrije i zdravstvenih radnika koristi bolesnicima. To je odnos koji je rezultirao mnogim inovativnim lijekovima i promijenio načine kako mnoge bolesti utječu na naše živote. Industrija i zdravstveni radnici surađuju na mnogobrojnim aktivnostima poput kliničkih ispitivanja, razmjene najboljih kliničkih postupaka te razmjene informacija o tome kako se novi lijekovi uklapaju u put liječenja. Uvođenje dodatne transparentnosti u taj vital</w:t>
      </w:r>
      <w:r w:rsidR="00D87052" w:rsidRPr="001F528E">
        <w:rPr>
          <w:rFonts w:cs="Myriad Pro"/>
          <w:color w:val="000000"/>
          <w:lang w:val="hr-HR"/>
        </w:rPr>
        <w:t>a</w:t>
      </w:r>
      <w:r w:rsidRPr="001F528E">
        <w:rPr>
          <w:rFonts w:cs="Myriad Pro"/>
          <w:color w:val="000000"/>
          <w:lang w:val="hr-HR"/>
        </w:rPr>
        <w:t xml:space="preserve">n i visoko reguliran odnos ima za cilj jačanje temelja buduće suradnje. Društvo ima sve </w:t>
      </w:r>
      <w:r w:rsidR="00D87052" w:rsidRPr="001F528E">
        <w:rPr>
          <w:rFonts w:cs="Myriad Pro"/>
          <w:color w:val="000000"/>
          <w:lang w:val="hr-HR"/>
        </w:rPr>
        <w:t xml:space="preserve">veće </w:t>
      </w:r>
      <w:r w:rsidRPr="001F528E">
        <w:rPr>
          <w:rFonts w:cs="Myriad Pro"/>
          <w:color w:val="000000"/>
          <w:lang w:val="hr-HR"/>
        </w:rPr>
        <w:t>zahtjeve i očekivanja prema transparentnosti</w:t>
      </w:r>
      <w:r w:rsidR="00BA2EEE" w:rsidRPr="001F528E">
        <w:rPr>
          <w:rFonts w:cs="Myriad Pro"/>
          <w:color w:val="000000"/>
          <w:lang w:val="hr-HR"/>
        </w:rPr>
        <w:t xml:space="preserve"> poslovanja</w:t>
      </w:r>
      <w:r w:rsidRPr="001F528E">
        <w:rPr>
          <w:rFonts w:cs="Myriad Pro"/>
          <w:color w:val="000000"/>
          <w:lang w:val="hr-HR"/>
        </w:rPr>
        <w:t xml:space="preserve">, </w:t>
      </w:r>
      <w:r w:rsidR="00BA2EEE" w:rsidRPr="001F528E">
        <w:rPr>
          <w:rFonts w:cs="Myriad Pro"/>
          <w:color w:val="000000"/>
          <w:lang w:val="hr-HR"/>
        </w:rPr>
        <w:t>kako u zdravstvu tako i u drugim područjima</w:t>
      </w:r>
      <w:r w:rsidRPr="001F528E">
        <w:rPr>
          <w:rFonts w:cs="Myriad Pro"/>
          <w:color w:val="000000"/>
          <w:lang w:val="hr-HR"/>
        </w:rPr>
        <w:t>.</w:t>
      </w:r>
      <w:r w:rsidR="00BA2EEE" w:rsidRPr="001F528E">
        <w:rPr>
          <w:rFonts w:cs="Myriad Pro"/>
          <w:color w:val="000000"/>
          <w:lang w:val="hr-HR"/>
        </w:rPr>
        <w:t xml:space="preserve"> Takeda će</w:t>
      </w:r>
      <w:r w:rsidR="00D87052" w:rsidRPr="001F528E">
        <w:rPr>
          <w:rFonts w:cs="Myriad Pro"/>
          <w:color w:val="000000"/>
          <w:lang w:val="hr-HR"/>
        </w:rPr>
        <w:t xml:space="preserve"> se</w:t>
      </w:r>
      <w:r w:rsidR="00BA2EEE" w:rsidRPr="001F528E">
        <w:rPr>
          <w:rFonts w:cs="Myriad Pro"/>
          <w:color w:val="000000"/>
          <w:lang w:val="hr-HR"/>
        </w:rPr>
        <w:t xml:space="preserve"> kao članica Europske federacije farmaceutskih industrija i udruženja („EFPIA“) </w:t>
      </w:r>
      <w:r w:rsidR="00565DB9">
        <w:rPr>
          <w:rFonts w:cs="Myriad Pro"/>
          <w:color w:val="000000"/>
          <w:lang w:val="hr-HR"/>
        </w:rPr>
        <w:t>i hrvatske udruge-članice EFPIA-e, Inovativne farmaceutske Inicijative  (</w:t>
      </w:r>
      <w:proofErr w:type="spellStart"/>
      <w:r w:rsidR="00565DB9">
        <w:rPr>
          <w:rFonts w:cs="Myriad Pro"/>
          <w:color w:val="000000"/>
          <w:lang w:val="hr-HR"/>
        </w:rPr>
        <w:t>iFi</w:t>
      </w:r>
      <w:proofErr w:type="spellEnd"/>
      <w:r w:rsidR="00565DB9">
        <w:rPr>
          <w:rFonts w:cs="Myriad Pro"/>
          <w:color w:val="000000"/>
          <w:lang w:val="hr-HR"/>
        </w:rPr>
        <w:t>),</w:t>
      </w:r>
      <w:r w:rsidR="00BA2EEE" w:rsidRPr="001F528E">
        <w:rPr>
          <w:rFonts w:cs="Myriad Pro"/>
          <w:color w:val="000000"/>
          <w:lang w:val="hr-HR"/>
        </w:rPr>
        <w:t xml:space="preserve"> </w:t>
      </w:r>
      <w:r w:rsidR="00D87052" w:rsidRPr="001F528E">
        <w:rPr>
          <w:rFonts w:cs="Myriad Pro"/>
          <w:color w:val="000000"/>
          <w:lang w:val="hr-HR"/>
        </w:rPr>
        <w:t xml:space="preserve">pobrinuti </w:t>
      </w:r>
      <w:r w:rsidR="00BA2EEE" w:rsidRPr="001F528E">
        <w:rPr>
          <w:rFonts w:cs="Myriad Pro"/>
          <w:color w:val="000000"/>
          <w:lang w:val="hr-HR"/>
        </w:rPr>
        <w:t>da se takva očekivanja ispune.</w:t>
      </w:r>
    </w:p>
    <w:p w:rsidR="00BA2EEE" w:rsidRPr="001F528E" w:rsidRDefault="00BA2EEE" w:rsidP="004525A3">
      <w:pPr>
        <w:jc w:val="both"/>
        <w:rPr>
          <w:lang w:val="hr-HR"/>
        </w:rPr>
      </w:pPr>
      <w:r w:rsidRPr="001F528E">
        <w:rPr>
          <w:lang w:val="hr-HR"/>
        </w:rPr>
        <w:t xml:space="preserve">Ove metodološke bilješke namijenjene su svima koji žele bolje razumjeti kako je u </w:t>
      </w:r>
      <w:r w:rsidR="00D87052" w:rsidRPr="001F528E">
        <w:rPr>
          <w:lang w:val="hr-HR"/>
        </w:rPr>
        <w:t xml:space="preserve">društvu </w:t>
      </w:r>
      <w:r w:rsidRPr="001F528E">
        <w:rPr>
          <w:lang w:val="hr-HR"/>
        </w:rPr>
        <w:t xml:space="preserve">Takeda </w:t>
      </w:r>
      <w:proofErr w:type="spellStart"/>
      <w:r w:rsidRPr="001F528E">
        <w:rPr>
          <w:lang w:val="hr-HR"/>
        </w:rPr>
        <w:t>Pharmaceuticals</w:t>
      </w:r>
      <w:proofErr w:type="spellEnd"/>
      <w:r w:rsidRPr="001F528E">
        <w:rPr>
          <w:lang w:val="hr-HR"/>
        </w:rPr>
        <w:t xml:space="preserve"> Croatia d.o.o. pripremljen izvještaj o prijenosu vrijednosti i kako se objavljene aktivnosti definiraju unutar </w:t>
      </w:r>
      <w:proofErr w:type="spellStart"/>
      <w:r w:rsidRPr="001F528E">
        <w:rPr>
          <w:lang w:val="hr-HR"/>
        </w:rPr>
        <w:t>Takede</w:t>
      </w:r>
      <w:proofErr w:type="spellEnd"/>
      <w:r w:rsidRPr="001F528E">
        <w:rPr>
          <w:lang w:val="hr-HR"/>
        </w:rPr>
        <w:t>.</w:t>
      </w:r>
    </w:p>
    <w:p w:rsidR="00B23528" w:rsidRPr="001F528E" w:rsidRDefault="00BA2EEE" w:rsidP="004525A3">
      <w:pPr>
        <w:pStyle w:val="Heading1"/>
        <w:numPr>
          <w:ilvl w:val="0"/>
          <w:numId w:val="5"/>
        </w:numPr>
        <w:jc w:val="both"/>
        <w:rPr>
          <w:rFonts w:asciiTheme="minorHAnsi" w:hAnsiTheme="minorHAnsi"/>
          <w:lang w:val="hr-HR"/>
        </w:rPr>
      </w:pPr>
      <w:bookmarkStart w:id="2" w:name="_Toc311393062"/>
      <w:bookmarkStart w:id="3" w:name="_Toc478984356"/>
      <w:r w:rsidRPr="001F528E">
        <w:rPr>
          <w:rFonts w:asciiTheme="minorHAnsi" w:hAnsiTheme="minorHAnsi"/>
          <w:lang w:val="hr-HR"/>
        </w:rPr>
        <w:t>Predmet objave</w:t>
      </w:r>
      <w:bookmarkEnd w:id="2"/>
      <w:bookmarkEnd w:id="3"/>
      <w:r w:rsidR="00B23528" w:rsidRPr="001F528E">
        <w:rPr>
          <w:rFonts w:asciiTheme="minorHAnsi" w:hAnsiTheme="minorHAnsi"/>
          <w:lang w:val="hr-HR"/>
        </w:rPr>
        <w:t xml:space="preserve"> </w:t>
      </w:r>
    </w:p>
    <w:p w:rsidR="00315595" w:rsidRPr="001F528E" w:rsidRDefault="00BA2EEE" w:rsidP="005A07F0">
      <w:pPr>
        <w:rPr>
          <w:lang w:val="hr-HR"/>
        </w:rPr>
      </w:pPr>
      <w:r w:rsidRPr="001F528E">
        <w:rPr>
          <w:lang w:val="hr-HR"/>
        </w:rPr>
        <w:t>Potrebno je nekoliko internih objašnjenja kako bi se točno odredilo što se prijavljuje kao prijenos vrijednosti prema važećim EFPIA smjernicama (http://transparency.efpia.eu/</w:t>
      </w:r>
      <w:proofErr w:type="spellStart"/>
      <w:r w:rsidRPr="001F528E">
        <w:rPr>
          <w:lang w:val="hr-HR"/>
        </w:rPr>
        <w:t>the</w:t>
      </w:r>
      <w:proofErr w:type="spellEnd"/>
      <w:r w:rsidRPr="001F528E">
        <w:rPr>
          <w:lang w:val="hr-HR"/>
        </w:rPr>
        <w:t>-</w:t>
      </w:r>
      <w:proofErr w:type="spellStart"/>
      <w:r w:rsidRPr="001F528E">
        <w:rPr>
          <w:lang w:val="hr-HR"/>
        </w:rPr>
        <w:t>efpia</w:t>
      </w:r>
      <w:proofErr w:type="spellEnd"/>
      <w:r w:rsidRPr="001F528E">
        <w:rPr>
          <w:lang w:val="hr-HR"/>
        </w:rPr>
        <w:t>-</w:t>
      </w:r>
      <w:proofErr w:type="spellStart"/>
      <w:r w:rsidRPr="001F528E">
        <w:rPr>
          <w:lang w:val="hr-HR"/>
        </w:rPr>
        <w:t>code</w:t>
      </w:r>
      <w:proofErr w:type="spellEnd"/>
      <w:r w:rsidRPr="001F528E">
        <w:rPr>
          <w:lang w:val="hr-HR"/>
        </w:rPr>
        <w:t xml:space="preserve">-2) te hrvatskim zakonima </w:t>
      </w:r>
      <w:r w:rsidR="00315595" w:rsidRPr="001F528E">
        <w:rPr>
          <w:lang w:val="hr-HR"/>
        </w:rPr>
        <w:t>i kodeksu IFI</w:t>
      </w:r>
      <w:r w:rsidR="00565DB9">
        <w:rPr>
          <w:lang w:val="hr-HR"/>
        </w:rPr>
        <w:t>-ja</w:t>
      </w:r>
      <w:r w:rsidR="00855CA9">
        <w:rPr>
          <w:lang w:val="hr-HR"/>
        </w:rPr>
        <w:t xml:space="preserve"> (www.ifi.hr/</w:t>
      </w:r>
      <w:r w:rsidR="00855CA9" w:rsidRPr="00855CA9">
        <w:rPr>
          <w:lang w:val="hr-HR"/>
        </w:rPr>
        <w:t>kodeks-</w:t>
      </w:r>
      <w:proofErr w:type="spellStart"/>
      <w:r w:rsidR="00855CA9" w:rsidRPr="00855CA9">
        <w:rPr>
          <w:lang w:val="hr-HR"/>
        </w:rPr>
        <w:t>ponasanja</w:t>
      </w:r>
      <w:proofErr w:type="spellEnd"/>
      <w:r w:rsidR="00855CA9" w:rsidRPr="00855CA9">
        <w:rPr>
          <w:lang w:val="hr-HR"/>
        </w:rPr>
        <w:t>-inovativnih-</w:t>
      </w:r>
      <w:proofErr w:type="spellStart"/>
      <w:r w:rsidR="00855CA9" w:rsidRPr="00855CA9">
        <w:rPr>
          <w:lang w:val="hr-HR"/>
        </w:rPr>
        <w:t>proizvodaca</w:t>
      </w:r>
      <w:proofErr w:type="spellEnd"/>
      <w:r w:rsidR="00855CA9" w:rsidRPr="00855CA9">
        <w:rPr>
          <w:lang w:val="hr-HR"/>
        </w:rPr>
        <w:t>-lijekova/</w:t>
      </w:r>
      <w:r w:rsidR="00855CA9">
        <w:rPr>
          <w:lang w:val="hr-HR"/>
        </w:rPr>
        <w:t>)</w:t>
      </w:r>
      <w:r w:rsidR="00315595" w:rsidRPr="001F528E">
        <w:rPr>
          <w:lang w:val="hr-HR"/>
        </w:rPr>
        <w:t>.</w:t>
      </w:r>
    </w:p>
    <w:p w:rsidR="00315595" w:rsidRPr="001F528E" w:rsidRDefault="00315595" w:rsidP="005A07F0">
      <w:pPr>
        <w:rPr>
          <w:lang w:val="hr-HR"/>
        </w:rPr>
      </w:pPr>
      <w:r w:rsidRPr="001F528E">
        <w:rPr>
          <w:lang w:val="hr-HR"/>
        </w:rPr>
        <w:t>U nastavku smo saželi našu interpretaciju i pretpostavke koje smo primijenili pri prikupljanju podataka, kako su definirani primatelji te koje su aktivnosti i troškovi obuhvaćeni.</w:t>
      </w:r>
    </w:p>
    <w:p w:rsidR="007E68D4" w:rsidRPr="001F528E" w:rsidRDefault="00DC7027" w:rsidP="004525A3">
      <w:pPr>
        <w:pStyle w:val="Heading2"/>
        <w:numPr>
          <w:ilvl w:val="1"/>
          <w:numId w:val="5"/>
        </w:numPr>
        <w:jc w:val="both"/>
        <w:rPr>
          <w:rFonts w:asciiTheme="minorHAnsi" w:hAnsiTheme="minorHAnsi"/>
          <w:lang w:val="hr-HR"/>
        </w:rPr>
      </w:pPr>
      <w:r w:rsidRPr="001F528E">
        <w:rPr>
          <w:rFonts w:asciiTheme="minorHAnsi" w:hAnsiTheme="minorHAnsi"/>
          <w:lang w:val="hr-HR"/>
        </w:rPr>
        <w:t xml:space="preserve"> </w:t>
      </w:r>
      <w:bookmarkStart w:id="4" w:name="_Toc478984357"/>
      <w:r w:rsidR="00315595" w:rsidRPr="001F528E">
        <w:rPr>
          <w:rFonts w:asciiTheme="minorHAnsi" w:hAnsiTheme="minorHAnsi"/>
          <w:lang w:val="hr-HR"/>
        </w:rPr>
        <w:t>Primatelji</w:t>
      </w:r>
      <w:bookmarkEnd w:id="4"/>
    </w:p>
    <w:p w:rsidR="00B23528" w:rsidRPr="001F528E" w:rsidRDefault="00315595" w:rsidP="005367F5">
      <w:pPr>
        <w:pStyle w:val="Heading3"/>
        <w:numPr>
          <w:ilvl w:val="2"/>
          <w:numId w:val="5"/>
        </w:numPr>
        <w:ind w:left="567" w:hanging="567"/>
        <w:jc w:val="both"/>
        <w:rPr>
          <w:rFonts w:asciiTheme="minorHAnsi" w:hAnsiTheme="minorHAnsi"/>
          <w:lang w:val="hr-HR"/>
        </w:rPr>
      </w:pPr>
      <w:bookmarkStart w:id="5" w:name="_Toc311393064"/>
      <w:bookmarkStart w:id="6" w:name="_Toc478984358"/>
      <w:bookmarkStart w:id="7" w:name="_Toc310773576"/>
      <w:r w:rsidRPr="001F528E">
        <w:rPr>
          <w:rFonts w:asciiTheme="minorHAnsi" w:hAnsiTheme="minorHAnsi"/>
          <w:lang w:val="hr-HR"/>
        </w:rPr>
        <w:t>Zdravstveni radnici</w:t>
      </w:r>
      <w:r w:rsidR="006C45F9" w:rsidRPr="001F528E">
        <w:rPr>
          <w:rFonts w:asciiTheme="minorHAnsi" w:hAnsiTheme="minorHAnsi"/>
          <w:lang w:val="hr-HR"/>
        </w:rPr>
        <w:t xml:space="preserve">:  </w:t>
      </w:r>
      <w:bookmarkEnd w:id="5"/>
      <w:r w:rsidRPr="001F528E">
        <w:rPr>
          <w:rFonts w:asciiTheme="minorHAnsi" w:hAnsiTheme="minorHAnsi"/>
          <w:lang w:val="hr-HR"/>
        </w:rPr>
        <w:t>definicija</w:t>
      </w:r>
      <w:bookmarkEnd w:id="6"/>
    </w:p>
    <w:p w:rsidR="009445A9" w:rsidRPr="001F528E" w:rsidRDefault="00315595" w:rsidP="006B6231">
      <w:pPr>
        <w:jc w:val="both"/>
        <w:rPr>
          <w:lang w:val="hr-HR"/>
        </w:rPr>
      </w:pPr>
      <w:r w:rsidRPr="001F528E">
        <w:rPr>
          <w:lang w:val="hr-HR"/>
        </w:rPr>
        <w:t>U izvještaju o prijenosu vrijednosti, Takeda se vodila definicijom zdravstvenog radnika prema kodeksu Inovativne farmaceutske inicijative. Zdravstveni radnik podrazumijeva liječnika, stomatologa, pripadnika liječni</w:t>
      </w:r>
      <w:r w:rsidR="00DC7027" w:rsidRPr="001F528E">
        <w:rPr>
          <w:lang w:val="hr-HR"/>
        </w:rPr>
        <w:t>č</w:t>
      </w:r>
      <w:r w:rsidRPr="001F528E">
        <w:rPr>
          <w:lang w:val="hr-HR"/>
        </w:rPr>
        <w:t>ke ili sestrinske struke, ali i sve osobe koje u obavljanju svojih profesionalnih aktivnosti mogu propisivati, kupovati, nabavljati te obavljati opskrbu ili izdavati lijekove.</w:t>
      </w:r>
      <w:r w:rsidR="0004456F" w:rsidRPr="001F528E">
        <w:rPr>
          <w:lang w:val="hr-HR"/>
        </w:rPr>
        <w:t xml:space="preserve"> Mjesto objave odgovara mjestu </w:t>
      </w:r>
      <w:r w:rsidR="00AB20C0" w:rsidRPr="001F528E">
        <w:rPr>
          <w:lang w:val="hr-HR"/>
        </w:rPr>
        <w:t xml:space="preserve">obavljanja profesionalne djelatnosti </w:t>
      </w:r>
      <w:r w:rsidR="0004456F" w:rsidRPr="001F528E">
        <w:rPr>
          <w:lang w:val="hr-HR"/>
        </w:rPr>
        <w:t>zdravstvenog radnika.</w:t>
      </w:r>
    </w:p>
    <w:p w:rsidR="007E68D4" w:rsidRPr="001F528E" w:rsidRDefault="00BB7514" w:rsidP="005367F5">
      <w:pPr>
        <w:pStyle w:val="Heading3"/>
        <w:numPr>
          <w:ilvl w:val="2"/>
          <w:numId w:val="5"/>
        </w:numPr>
        <w:ind w:left="567" w:hanging="567"/>
        <w:jc w:val="both"/>
        <w:rPr>
          <w:rFonts w:asciiTheme="minorHAnsi" w:hAnsiTheme="minorHAnsi"/>
          <w:lang w:val="hr-HR"/>
        </w:rPr>
      </w:pPr>
      <w:bookmarkStart w:id="8" w:name="_Toc311393065"/>
      <w:bookmarkStart w:id="9" w:name="_Toc478984359"/>
      <w:bookmarkEnd w:id="7"/>
      <w:r w:rsidRPr="001F528E">
        <w:rPr>
          <w:rFonts w:asciiTheme="minorHAnsi" w:hAnsiTheme="minorHAnsi"/>
          <w:lang w:val="hr-HR"/>
        </w:rPr>
        <w:t>Zdravstvene organizacije: definicija</w:t>
      </w:r>
      <w:bookmarkEnd w:id="8"/>
      <w:bookmarkEnd w:id="9"/>
    </w:p>
    <w:p w:rsidR="009445A9" w:rsidRPr="001F528E" w:rsidRDefault="00AB20C0" w:rsidP="006B6231">
      <w:pPr>
        <w:jc w:val="both"/>
        <w:rPr>
          <w:lang w:val="hr-HR"/>
        </w:rPr>
      </w:pPr>
      <w:r w:rsidRPr="001F528E">
        <w:rPr>
          <w:lang w:val="hr-HR"/>
        </w:rPr>
        <w:t>U izvještaju o prijenosu vrijednosti, Takeda se vodila definicijom zdravstvene organizacije prema kodeksu Inovativne farmaceutske inicijative. Zdravstven</w:t>
      </w:r>
      <w:r w:rsidR="005743E0" w:rsidRPr="001F528E">
        <w:rPr>
          <w:lang w:val="hr-HR"/>
        </w:rPr>
        <w:t xml:space="preserve">e organizacije uključuju </w:t>
      </w:r>
      <w:r w:rsidRPr="001F528E">
        <w:rPr>
          <w:lang w:val="hr-HR"/>
        </w:rPr>
        <w:t>pravn</w:t>
      </w:r>
      <w:r w:rsidR="005743E0" w:rsidRPr="001F528E">
        <w:rPr>
          <w:lang w:val="hr-HR"/>
        </w:rPr>
        <w:t>e</w:t>
      </w:r>
      <w:r w:rsidRPr="001F528E">
        <w:rPr>
          <w:lang w:val="hr-HR"/>
        </w:rPr>
        <w:t xml:space="preserve"> osob</w:t>
      </w:r>
      <w:r w:rsidR="005743E0" w:rsidRPr="001F528E">
        <w:rPr>
          <w:lang w:val="hr-HR"/>
        </w:rPr>
        <w:t>e</w:t>
      </w:r>
      <w:r w:rsidRPr="001F528E">
        <w:rPr>
          <w:lang w:val="hr-HR"/>
        </w:rPr>
        <w:t xml:space="preserve"> koj</w:t>
      </w:r>
      <w:r w:rsidR="005743E0" w:rsidRPr="001F528E">
        <w:rPr>
          <w:lang w:val="hr-HR"/>
        </w:rPr>
        <w:t>e</w:t>
      </w:r>
      <w:r w:rsidRPr="001F528E">
        <w:rPr>
          <w:lang w:val="hr-HR"/>
        </w:rPr>
        <w:t xml:space="preserve"> </w:t>
      </w:r>
      <w:r w:rsidR="005743E0" w:rsidRPr="001F528E">
        <w:rPr>
          <w:lang w:val="hr-HR"/>
        </w:rPr>
        <w:t>su</w:t>
      </w:r>
      <w:r w:rsidRPr="001F528E">
        <w:rPr>
          <w:lang w:val="hr-HR"/>
        </w:rPr>
        <w:t xml:space="preserve"> osnovan</w:t>
      </w:r>
      <w:r w:rsidR="005743E0" w:rsidRPr="001F528E">
        <w:rPr>
          <w:lang w:val="hr-HR"/>
        </w:rPr>
        <w:t>e</w:t>
      </w:r>
      <w:r w:rsidRPr="001F528E">
        <w:rPr>
          <w:lang w:val="hr-HR"/>
        </w:rPr>
        <w:t xml:space="preserve"> i posluj</w:t>
      </w:r>
      <w:r w:rsidR="005743E0" w:rsidRPr="001F528E">
        <w:rPr>
          <w:lang w:val="hr-HR"/>
        </w:rPr>
        <w:t>u</w:t>
      </w:r>
      <w:r w:rsidRPr="001F528E">
        <w:rPr>
          <w:lang w:val="hr-HR"/>
        </w:rPr>
        <w:t xml:space="preserve"> temeljem važećeg Zakona o zdravstvenoj zaštiti, Zakona o obveznom zdravstvenom osiguranju, Zakona o zdravstvenom osiguranju zaštite zdravlja na radu, Zakona o ustanovama, Zakona o trgovačkim društvima, Zakona o koncesijama i ostalih propisa koji uređuju materiju obavljanja zdravstvene dje</w:t>
      </w:r>
      <w:r w:rsidR="005743E0" w:rsidRPr="001F528E">
        <w:rPr>
          <w:lang w:val="hr-HR"/>
        </w:rPr>
        <w:t xml:space="preserve">latnosti; </w:t>
      </w:r>
      <w:r w:rsidRPr="001F528E">
        <w:rPr>
          <w:lang w:val="hr-HR"/>
        </w:rPr>
        <w:t>pravn</w:t>
      </w:r>
      <w:r w:rsidR="005743E0" w:rsidRPr="001F528E">
        <w:rPr>
          <w:lang w:val="hr-HR"/>
        </w:rPr>
        <w:t>e</w:t>
      </w:r>
      <w:r w:rsidRPr="001F528E">
        <w:rPr>
          <w:lang w:val="hr-HR"/>
        </w:rPr>
        <w:t xml:space="preserve"> osob</w:t>
      </w:r>
      <w:r w:rsidR="005743E0" w:rsidRPr="001F528E">
        <w:rPr>
          <w:lang w:val="hr-HR"/>
        </w:rPr>
        <w:t>e</w:t>
      </w:r>
      <w:r w:rsidRPr="001F528E">
        <w:rPr>
          <w:lang w:val="hr-HR"/>
        </w:rPr>
        <w:t xml:space="preserve"> zdravstvenog usmjerenja u kojima se izvodi nastavni, istraživački ili znanstveni </w:t>
      </w:r>
      <w:r w:rsidR="005743E0" w:rsidRPr="001F528E">
        <w:rPr>
          <w:lang w:val="hr-HR"/>
        </w:rPr>
        <w:t xml:space="preserve">rad; </w:t>
      </w:r>
      <w:r w:rsidRPr="001F528E">
        <w:rPr>
          <w:lang w:val="hr-HR"/>
        </w:rPr>
        <w:t>strukovne organizacije zdravstvenih radnika u koje se zdravstveni radnici obvezno učlanjuju temeljem prop</w:t>
      </w:r>
      <w:r w:rsidR="005743E0" w:rsidRPr="001F528E">
        <w:rPr>
          <w:lang w:val="hr-HR"/>
        </w:rPr>
        <w:t xml:space="preserve">isa o zdravstvenim profesijama; </w:t>
      </w:r>
      <w:r w:rsidRPr="001F528E">
        <w:rPr>
          <w:lang w:val="hr-HR"/>
        </w:rPr>
        <w:t>udruge, zaklade i ostal</w:t>
      </w:r>
      <w:r w:rsidR="005743E0" w:rsidRPr="001F528E">
        <w:rPr>
          <w:lang w:val="hr-HR"/>
        </w:rPr>
        <w:t>e</w:t>
      </w:r>
      <w:r w:rsidRPr="001F528E">
        <w:rPr>
          <w:lang w:val="hr-HR"/>
        </w:rPr>
        <w:t xml:space="preserve"> obli</w:t>
      </w:r>
      <w:r w:rsidR="005743E0" w:rsidRPr="001F528E">
        <w:rPr>
          <w:lang w:val="hr-HR"/>
        </w:rPr>
        <w:t>ke</w:t>
      </w:r>
      <w:r w:rsidRPr="001F528E">
        <w:rPr>
          <w:lang w:val="hr-HR"/>
        </w:rPr>
        <w:t xml:space="preserve"> dobrovoljnog učlanjivanja zdravstvenih radnika u svrhu ostvarenja posebnih interesa</w:t>
      </w:r>
      <w:r w:rsidR="005743E0" w:rsidRPr="001F528E">
        <w:rPr>
          <w:lang w:val="hr-HR"/>
        </w:rPr>
        <w:t>. Mjesto objave odgovara javnoj adresi zdravstvene organizacije.</w:t>
      </w:r>
    </w:p>
    <w:p w:rsidR="009445A9" w:rsidRPr="001F528E" w:rsidRDefault="005743E0" w:rsidP="005367F5">
      <w:pPr>
        <w:pStyle w:val="Heading3"/>
        <w:numPr>
          <w:ilvl w:val="2"/>
          <w:numId w:val="5"/>
        </w:numPr>
        <w:ind w:left="567" w:hanging="567"/>
        <w:jc w:val="both"/>
        <w:rPr>
          <w:rFonts w:asciiTheme="minorHAnsi" w:hAnsiTheme="minorHAnsi"/>
          <w:lang w:val="hr-HR"/>
        </w:rPr>
      </w:pPr>
      <w:bookmarkStart w:id="10" w:name="_Toc311393083"/>
      <w:bookmarkStart w:id="11" w:name="_Toc478984360"/>
      <w:r w:rsidRPr="001F528E">
        <w:rPr>
          <w:rFonts w:asciiTheme="minorHAnsi" w:hAnsiTheme="minorHAnsi"/>
          <w:lang w:val="hr-HR"/>
        </w:rPr>
        <w:t>Pravne osobe u vlasništ</w:t>
      </w:r>
      <w:r w:rsidR="00191AE3" w:rsidRPr="001F528E">
        <w:rPr>
          <w:rFonts w:asciiTheme="minorHAnsi" w:hAnsiTheme="minorHAnsi"/>
          <w:lang w:val="hr-HR"/>
        </w:rPr>
        <w:t>v</w:t>
      </w:r>
      <w:r w:rsidRPr="001F528E">
        <w:rPr>
          <w:rFonts w:asciiTheme="minorHAnsi" w:hAnsiTheme="minorHAnsi"/>
          <w:lang w:val="hr-HR"/>
        </w:rPr>
        <w:t xml:space="preserve">u </w:t>
      </w:r>
      <w:bookmarkEnd w:id="10"/>
      <w:r w:rsidRPr="001F528E">
        <w:rPr>
          <w:rFonts w:asciiTheme="minorHAnsi" w:hAnsiTheme="minorHAnsi"/>
          <w:lang w:val="hr-HR"/>
        </w:rPr>
        <w:t>zdravstvenih radnika</w:t>
      </w:r>
      <w:bookmarkEnd w:id="11"/>
    </w:p>
    <w:p w:rsidR="00CB0BA3" w:rsidRPr="001F528E" w:rsidRDefault="005743E0" w:rsidP="00C0602C">
      <w:pPr>
        <w:rPr>
          <w:color w:val="FF0000"/>
          <w:lang w:val="hr-HR"/>
        </w:rPr>
      </w:pPr>
      <w:r w:rsidRPr="001F528E">
        <w:rPr>
          <w:lang w:val="hr-HR"/>
        </w:rPr>
        <w:t>Ako je pravna osoba (zdravstvena organizacija) u vlasništ</w:t>
      </w:r>
      <w:r w:rsidR="00191AE3" w:rsidRPr="001F528E">
        <w:rPr>
          <w:lang w:val="hr-HR"/>
        </w:rPr>
        <w:t>v</w:t>
      </w:r>
      <w:r w:rsidRPr="001F528E">
        <w:rPr>
          <w:lang w:val="hr-HR"/>
        </w:rPr>
        <w:t xml:space="preserve">u zdravstvenog radnika, prijenos vrijednosti se objavljuje na ime zdravstvenog radnika. </w:t>
      </w:r>
    </w:p>
    <w:p w:rsidR="00B53254" w:rsidRPr="001F528E" w:rsidRDefault="00A25568" w:rsidP="00C0602C">
      <w:pPr>
        <w:pStyle w:val="Heading3"/>
        <w:numPr>
          <w:ilvl w:val="2"/>
          <w:numId w:val="5"/>
        </w:numPr>
        <w:ind w:left="567" w:hanging="567"/>
        <w:jc w:val="both"/>
        <w:rPr>
          <w:b w:val="0"/>
          <w:lang w:val="hr-HR"/>
        </w:rPr>
      </w:pPr>
      <w:bookmarkStart w:id="12" w:name="_Toc478984361"/>
      <w:bookmarkStart w:id="13" w:name="_Toc408833766"/>
      <w:r w:rsidRPr="001F528E">
        <w:rPr>
          <w:rFonts w:asciiTheme="minorHAnsi" w:hAnsiTheme="minorHAnsi"/>
          <w:lang w:val="hr-HR"/>
        </w:rPr>
        <w:t>Jasno identificiran primatelj</w:t>
      </w:r>
      <w:bookmarkEnd w:id="12"/>
    </w:p>
    <w:p w:rsidR="00B53254" w:rsidRPr="001F528E" w:rsidRDefault="00B53254" w:rsidP="005367F5">
      <w:pPr>
        <w:jc w:val="both"/>
        <w:rPr>
          <w:lang w:val="hr-HR"/>
        </w:rPr>
      </w:pPr>
      <w:r w:rsidRPr="001F528E">
        <w:rPr>
          <w:lang w:val="hr-HR"/>
        </w:rPr>
        <w:t>T</w:t>
      </w:r>
      <w:r w:rsidR="00C45A11" w:rsidRPr="001F528E">
        <w:rPr>
          <w:lang w:val="hr-HR"/>
        </w:rPr>
        <w:t xml:space="preserve">akeda </w:t>
      </w:r>
      <w:r w:rsidR="00A25568" w:rsidRPr="001F528E">
        <w:rPr>
          <w:lang w:val="hr-HR"/>
        </w:rPr>
        <w:t xml:space="preserve">je </w:t>
      </w:r>
      <w:r w:rsidR="004F2B77" w:rsidRPr="001F528E">
        <w:rPr>
          <w:lang w:val="hr-HR"/>
        </w:rPr>
        <w:t xml:space="preserve">uspostavila interne postupke koji osiguravaju točnost i cjelovitost objavljenih podataka.  </w:t>
      </w:r>
    </w:p>
    <w:bookmarkEnd w:id="13"/>
    <w:p w:rsidR="001E1973" w:rsidRPr="001F528E" w:rsidRDefault="00DC7027" w:rsidP="004525A3">
      <w:pPr>
        <w:pStyle w:val="Heading2"/>
        <w:numPr>
          <w:ilvl w:val="1"/>
          <w:numId w:val="5"/>
        </w:numPr>
        <w:jc w:val="both"/>
        <w:rPr>
          <w:rFonts w:asciiTheme="minorHAnsi" w:hAnsiTheme="minorHAnsi"/>
          <w:lang w:val="hr-HR"/>
        </w:rPr>
      </w:pPr>
      <w:r w:rsidRPr="001F528E">
        <w:rPr>
          <w:rFonts w:asciiTheme="minorHAnsi" w:hAnsiTheme="minorHAnsi"/>
          <w:lang w:val="hr-HR"/>
        </w:rPr>
        <w:lastRenderedPageBreak/>
        <w:t xml:space="preserve"> </w:t>
      </w:r>
      <w:bookmarkStart w:id="14" w:name="_Toc478984362"/>
      <w:r w:rsidR="004F2B77" w:rsidRPr="001F528E">
        <w:rPr>
          <w:rFonts w:asciiTheme="minorHAnsi" w:hAnsiTheme="minorHAnsi"/>
          <w:lang w:val="hr-HR"/>
        </w:rPr>
        <w:t>Proizvodi</w:t>
      </w:r>
      <w:bookmarkEnd w:id="14"/>
    </w:p>
    <w:p w:rsidR="00A7315D" w:rsidRPr="001F528E" w:rsidRDefault="004F2B77" w:rsidP="004525A3">
      <w:pPr>
        <w:jc w:val="both"/>
        <w:rPr>
          <w:lang w:val="hr-HR"/>
        </w:rPr>
      </w:pPr>
      <w:r w:rsidRPr="001F528E">
        <w:rPr>
          <w:lang w:val="hr-HR"/>
        </w:rPr>
        <w:t xml:space="preserve">Obveza se odnosi samo na aktivnosti vezane </w:t>
      </w:r>
      <w:r w:rsidR="00F37AEC" w:rsidRPr="001F528E">
        <w:rPr>
          <w:lang w:val="hr-HR"/>
        </w:rPr>
        <w:t>uz lijekove koji se izdaju na re</w:t>
      </w:r>
      <w:r w:rsidRPr="001F528E">
        <w:rPr>
          <w:lang w:val="hr-HR"/>
        </w:rPr>
        <w:t xml:space="preserve">cept, a izuzete su aktivnosti vezane uz </w:t>
      </w:r>
      <w:proofErr w:type="spellStart"/>
      <w:r w:rsidRPr="001F528E">
        <w:rPr>
          <w:lang w:val="hr-HR"/>
        </w:rPr>
        <w:t>bezreceptne</w:t>
      </w:r>
      <w:proofErr w:type="spellEnd"/>
      <w:r w:rsidRPr="001F528E">
        <w:rPr>
          <w:lang w:val="hr-HR"/>
        </w:rPr>
        <w:t xml:space="preserve"> lijekove.</w:t>
      </w:r>
    </w:p>
    <w:p w:rsidR="007E68D4" w:rsidRPr="001F528E" w:rsidRDefault="00F37AEC" w:rsidP="001F528E">
      <w:pPr>
        <w:pStyle w:val="Heading2"/>
        <w:numPr>
          <w:ilvl w:val="1"/>
          <w:numId w:val="50"/>
        </w:numPr>
        <w:ind w:left="709" w:hanging="567"/>
        <w:jc w:val="both"/>
        <w:rPr>
          <w:rFonts w:asciiTheme="minorHAnsi" w:hAnsiTheme="minorHAnsi"/>
          <w:lang w:val="hr-HR"/>
        </w:rPr>
      </w:pPr>
      <w:bookmarkStart w:id="15" w:name="_Toc478984363"/>
      <w:r w:rsidRPr="001F528E">
        <w:rPr>
          <w:rFonts w:asciiTheme="minorHAnsi" w:hAnsiTheme="minorHAnsi"/>
          <w:lang w:val="hr-HR"/>
        </w:rPr>
        <w:t>Aktivnosti</w:t>
      </w:r>
      <w:bookmarkEnd w:id="15"/>
    </w:p>
    <w:p w:rsidR="00F37AEC" w:rsidRPr="001F528E" w:rsidRDefault="00F37AEC" w:rsidP="009145D6">
      <w:pPr>
        <w:rPr>
          <w:lang w:val="hr-HR"/>
        </w:rPr>
      </w:pPr>
      <w:r w:rsidRPr="001F528E">
        <w:rPr>
          <w:lang w:val="hr-HR"/>
        </w:rPr>
        <w:t>Definicije aktivnosti mogu se razlikovati među kompanija</w:t>
      </w:r>
      <w:r w:rsidR="00DC7027" w:rsidRPr="001F528E">
        <w:rPr>
          <w:lang w:val="hr-HR"/>
        </w:rPr>
        <w:t>ma</w:t>
      </w:r>
      <w:r w:rsidRPr="001F528E">
        <w:rPr>
          <w:lang w:val="hr-HR"/>
        </w:rPr>
        <w:t xml:space="preserve">. Unutar </w:t>
      </w:r>
      <w:proofErr w:type="spellStart"/>
      <w:r w:rsidRPr="001F528E">
        <w:rPr>
          <w:lang w:val="hr-HR"/>
        </w:rPr>
        <w:t>Takede</w:t>
      </w:r>
      <w:proofErr w:type="spellEnd"/>
      <w:r w:rsidRPr="001F528E">
        <w:rPr>
          <w:lang w:val="hr-HR"/>
        </w:rPr>
        <w:t xml:space="preserve"> se u svim interakcijama sa zdravstvenim radnicima vodimo internim politikama i standardnim operativnim postupcima koji su razvijeni u skladu s kodeksom ponašanja inovativnih proizvođača lijekova, te usklađeni s lokalnim zakonima i pravilnicima. </w:t>
      </w:r>
      <w:r w:rsidR="00DC7027" w:rsidRPr="001F528E">
        <w:rPr>
          <w:lang w:val="hr-HR"/>
        </w:rPr>
        <w:t xml:space="preserve">U nastavku </w:t>
      </w:r>
      <w:r w:rsidRPr="001F528E">
        <w:rPr>
          <w:lang w:val="hr-HR"/>
        </w:rPr>
        <w:t>su navedene naše definicije kako bi se olakšalo tumačenje izvještaja.</w:t>
      </w:r>
    </w:p>
    <w:p w:rsidR="00067B68" w:rsidRPr="001F528E" w:rsidRDefault="00F37AEC" w:rsidP="001F528E">
      <w:pPr>
        <w:pStyle w:val="Heading3"/>
        <w:numPr>
          <w:ilvl w:val="2"/>
          <w:numId w:val="45"/>
        </w:numPr>
        <w:ind w:left="567" w:hanging="567"/>
        <w:jc w:val="both"/>
        <w:rPr>
          <w:rFonts w:asciiTheme="minorHAnsi" w:hAnsiTheme="minorHAnsi"/>
          <w:lang w:val="hr-HR"/>
        </w:rPr>
      </w:pPr>
      <w:bookmarkStart w:id="16" w:name="_Toc478984364"/>
      <w:bookmarkStart w:id="17" w:name="_Toc408833751"/>
      <w:r w:rsidRPr="001F528E">
        <w:rPr>
          <w:rFonts w:asciiTheme="minorHAnsi" w:hAnsiTheme="minorHAnsi"/>
          <w:lang w:val="hr-HR"/>
        </w:rPr>
        <w:t>Donacije zdravstvenim organizacijama</w:t>
      </w:r>
      <w:bookmarkEnd w:id="16"/>
    </w:p>
    <w:p w:rsidR="00F37AEC" w:rsidRPr="001F528E" w:rsidRDefault="00E33027" w:rsidP="004525A3">
      <w:pPr>
        <w:jc w:val="both"/>
        <w:rPr>
          <w:lang w:val="hr-HR"/>
        </w:rPr>
      </w:pPr>
      <w:r w:rsidRPr="001F528E">
        <w:rPr>
          <w:lang w:val="hr-HR"/>
        </w:rPr>
        <w:t>U objavu su uključeni s</w:t>
      </w:r>
      <w:r w:rsidR="00F37AEC" w:rsidRPr="001F528E">
        <w:rPr>
          <w:lang w:val="hr-HR"/>
        </w:rPr>
        <w:t xml:space="preserve">vi prijenosi vrijednosti vezani uz donacije </w:t>
      </w:r>
      <w:r w:rsidRPr="001F528E">
        <w:rPr>
          <w:lang w:val="hr-HR"/>
        </w:rPr>
        <w:t xml:space="preserve">koje je Takeda dala </w:t>
      </w:r>
      <w:r w:rsidR="00F37AEC" w:rsidRPr="001F528E">
        <w:rPr>
          <w:lang w:val="hr-HR"/>
        </w:rPr>
        <w:t>zdravstvenim ustanovama</w:t>
      </w:r>
      <w:r w:rsidRPr="001F528E">
        <w:rPr>
          <w:lang w:val="hr-HR"/>
        </w:rPr>
        <w:t>.</w:t>
      </w:r>
      <w:r w:rsidR="00F37AEC" w:rsidRPr="001F528E">
        <w:rPr>
          <w:lang w:val="hr-HR"/>
        </w:rPr>
        <w:t xml:space="preserve"> Može se, na primjer, raditi o:</w:t>
      </w:r>
    </w:p>
    <w:p w:rsidR="00F37AEC" w:rsidRPr="001F528E" w:rsidRDefault="00DC7027" w:rsidP="00F37AEC">
      <w:pPr>
        <w:pStyle w:val="ListParagraph"/>
        <w:numPr>
          <w:ilvl w:val="0"/>
          <w:numId w:val="53"/>
        </w:numPr>
        <w:jc w:val="both"/>
        <w:rPr>
          <w:lang w:val="hr-HR"/>
        </w:rPr>
      </w:pPr>
      <w:r w:rsidRPr="001F528E">
        <w:rPr>
          <w:lang w:val="hr-HR"/>
        </w:rPr>
        <w:t>d</w:t>
      </w:r>
      <w:r w:rsidR="00F37AEC" w:rsidRPr="001F528E">
        <w:rPr>
          <w:lang w:val="hr-HR"/>
        </w:rPr>
        <w:t xml:space="preserve">onacijama (novčanim ili </w:t>
      </w:r>
      <w:r w:rsidR="00222F25" w:rsidRPr="001F528E">
        <w:rPr>
          <w:lang w:val="hr-HR"/>
        </w:rPr>
        <w:t xml:space="preserve">u </w:t>
      </w:r>
      <w:r w:rsidR="00A40C87" w:rsidRPr="001F528E">
        <w:rPr>
          <w:lang w:val="hr-HR"/>
        </w:rPr>
        <w:t>naravi</w:t>
      </w:r>
      <w:r w:rsidR="00222F25" w:rsidRPr="001F528E">
        <w:rPr>
          <w:lang w:val="hr-HR"/>
        </w:rPr>
        <w:t>)</w:t>
      </w:r>
    </w:p>
    <w:p w:rsidR="00222F25" w:rsidRPr="001F528E" w:rsidRDefault="00DC7027" w:rsidP="00F37AEC">
      <w:pPr>
        <w:pStyle w:val="ListParagraph"/>
        <w:numPr>
          <w:ilvl w:val="0"/>
          <w:numId w:val="53"/>
        </w:numPr>
        <w:jc w:val="both"/>
        <w:rPr>
          <w:lang w:val="hr-HR"/>
        </w:rPr>
      </w:pPr>
      <w:r w:rsidRPr="001F528E">
        <w:rPr>
          <w:lang w:val="hr-HR"/>
        </w:rPr>
        <w:t>p</w:t>
      </w:r>
      <w:r w:rsidR="00222F25" w:rsidRPr="001F528E">
        <w:rPr>
          <w:lang w:val="hr-HR"/>
        </w:rPr>
        <w:t>otporama</w:t>
      </w:r>
    </w:p>
    <w:p w:rsidR="00222F25" w:rsidRPr="001F528E" w:rsidRDefault="00222F25" w:rsidP="00222F25">
      <w:pPr>
        <w:pStyle w:val="ListParagraph"/>
        <w:numPr>
          <w:ilvl w:val="1"/>
          <w:numId w:val="53"/>
        </w:numPr>
        <w:jc w:val="both"/>
        <w:rPr>
          <w:lang w:val="hr-HR"/>
        </w:rPr>
      </w:pPr>
      <w:r w:rsidRPr="001F528E">
        <w:rPr>
          <w:lang w:val="hr-HR"/>
        </w:rPr>
        <w:t>Potpora za medicinsku edukaciju (potpore za edukaciju zdravstvenih radnika): mogu biti u vrijednosti (npr. za istraživačke svrhe, kad istraživač ili organizacija (akademska, privatna ili vladina) provode i sponzoriraju vlastito neovisno ispitivanje, a Takeda ga podupire osiguravanjem lijeka koji se u ispitivanju koristi i/ili sredstava) ili u naravi (npr. anatomski modeli).</w:t>
      </w:r>
    </w:p>
    <w:p w:rsidR="00222F25" w:rsidRPr="001F528E" w:rsidRDefault="00A40C87" w:rsidP="00222F25">
      <w:pPr>
        <w:pStyle w:val="ListParagraph"/>
        <w:numPr>
          <w:ilvl w:val="1"/>
          <w:numId w:val="53"/>
        </w:numPr>
        <w:jc w:val="both"/>
        <w:rPr>
          <w:lang w:val="hr-HR"/>
        </w:rPr>
      </w:pPr>
      <w:r w:rsidRPr="001F528E">
        <w:rPr>
          <w:lang w:val="hr-HR"/>
        </w:rPr>
        <w:t>Potpora zdravstvenim organizacijama za unaprjeđenje infrastrukture</w:t>
      </w:r>
    </w:p>
    <w:p w:rsidR="00C508C7" w:rsidRPr="001F528E" w:rsidRDefault="00A40C87" w:rsidP="001F528E">
      <w:pPr>
        <w:pStyle w:val="Heading3"/>
        <w:numPr>
          <w:ilvl w:val="2"/>
          <w:numId w:val="45"/>
        </w:numPr>
        <w:ind w:left="567" w:hanging="567"/>
        <w:jc w:val="both"/>
        <w:rPr>
          <w:rFonts w:asciiTheme="minorHAnsi" w:hAnsiTheme="minorHAnsi"/>
          <w:lang w:val="hr-HR"/>
        </w:rPr>
      </w:pPr>
      <w:bookmarkStart w:id="18" w:name="_Toc311393070"/>
      <w:bookmarkStart w:id="19" w:name="_Toc313555995"/>
      <w:bookmarkStart w:id="20" w:name="_Toc478984365"/>
      <w:r w:rsidRPr="001F528E">
        <w:rPr>
          <w:rFonts w:asciiTheme="minorHAnsi" w:hAnsiTheme="minorHAnsi"/>
          <w:lang w:val="hr-HR"/>
        </w:rPr>
        <w:t>Pokri</w:t>
      </w:r>
      <w:r w:rsidR="00372541" w:rsidRPr="001F528E">
        <w:rPr>
          <w:rFonts w:asciiTheme="minorHAnsi" w:hAnsiTheme="minorHAnsi"/>
          <w:lang w:val="hr-HR"/>
        </w:rPr>
        <w:t>vanj</w:t>
      </w:r>
      <w:r w:rsidRPr="001F528E">
        <w:rPr>
          <w:rFonts w:asciiTheme="minorHAnsi" w:hAnsiTheme="minorHAnsi"/>
          <w:lang w:val="hr-HR"/>
        </w:rPr>
        <w:t>e troškova stručnih skupova i sastanaka</w:t>
      </w:r>
      <w:bookmarkStart w:id="21" w:name="_Toc408833752"/>
      <w:bookmarkEnd w:id="17"/>
      <w:bookmarkEnd w:id="18"/>
      <w:bookmarkEnd w:id="19"/>
      <w:bookmarkEnd w:id="20"/>
    </w:p>
    <w:p w:rsidR="00A40C87" w:rsidRPr="001F528E" w:rsidRDefault="00E33027" w:rsidP="001F528E">
      <w:pPr>
        <w:jc w:val="both"/>
        <w:rPr>
          <w:lang w:val="hr-HR"/>
        </w:rPr>
      </w:pPr>
      <w:r w:rsidRPr="001F528E">
        <w:rPr>
          <w:lang w:val="hr-HR"/>
        </w:rPr>
        <w:t xml:space="preserve">U objavu su uključeni svi prijenosi vrijednosti </w:t>
      </w:r>
      <w:r w:rsidR="00A40C87" w:rsidRPr="001F528E">
        <w:rPr>
          <w:lang w:val="hr-HR"/>
        </w:rPr>
        <w:t xml:space="preserve">vezani uz </w:t>
      </w:r>
      <w:proofErr w:type="spellStart"/>
      <w:r w:rsidR="00A40C87" w:rsidRPr="001F528E">
        <w:rPr>
          <w:lang w:val="hr-HR"/>
        </w:rPr>
        <w:t>Takedino</w:t>
      </w:r>
      <w:proofErr w:type="spellEnd"/>
      <w:r w:rsidR="00A40C87" w:rsidRPr="001F528E">
        <w:rPr>
          <w:lang w:val="hr-HR"/>
        </w:rPr>
        <w:t xml:space="preserve"> sudjelovanje u </w:t>
      </w:r>
      <w:r w:rsidR="00372541" w:rsidRPr="001F528E">
        <w:rPr>
          <w:lang w:val="hr-HR"/>
        </w:rPr>
        <w:t xml:space="preserve">pokrivanju </w:t>
      </w:r>
      <w:r w:rsidR="00A40C87" w:rsidRPr="001F528E">
        <w:rPr>
          <w:lang w:val="hr-HR"/>
        </w:rPr>
        <w:t>troškova stručnih sastanaka ili skupova (izravno ili neizravno preko treće strane). Može se, na primjer, raditi o:</w:t>
      </w:r>
    </w:p>
    <w:p w:rsidR="00A40C87" w:rsidRPr="001F528E" w:rsidRDefault="00A40C87" w:rsidP="00A40C87">
      <w:pPr>
        <w:pStyle w:val="ListParagraph"/>
        <w:numPr>
          <w:ilvl w:val="0"/>
          <w:numId w:val="54"/>
        </w:numPr>
        <w:jc w:val="both"/>
        <w:rPr>
          <w:lang w:val="hr-HR"/>
        </w:rPr>
      </w:pPr>
      <w:r w:rsidRPr="001F528E">
        <w:rPr>
          <w:lang w:val="hr-HR"/>
        </w:rPr>
        <w:t>troškovima putovanja (zrakoplovom, vlakom, taksijem)</w:t>
      </w:r>
    </w:p>
    <w:p w:rsidR="00A40C87" w:rsidRPr="001F528E" w:rsidRDefault="00A40C87" w:rsidP="00A40C87">
      <w:pPr>
        <w:pStyle w:val="ListParagraph"/>
        <w:numPr>
          <w:ilvl w:val="0"/>
          <w:numId w:val="54"/>
        </w:numPr>
        <w:jc w:val="both"/>
        <w:rPr>
          <w:lang w:val="hr-HR"/>
        </w:rPr>
      </w:pPr>
      <w:r w:rsidRPr="001F528E">
        <w:rPr>
          <w:lang w:val="hr-HR"/>
        </w:rPr>
        <w:t>troškovima smještaja</w:t>
      </w:r>
    </w:p>
    <w:p w:rsidR="00A40C87" w:rsidRPr="001F528E" w:rsidRDefault="00A40C87" w:rsidP="00A40C87">
      <w:pPr>
        <w:pStyle w:val="ListParagraph"/>
        <w:numPr>
          <w:ilvl w:val="0"/>
          <w:numId w:val="54"/>
        </w:numPr>
        <w:jc w:val="both"/>
        <w:rPr>
          <w:lang w:val="hr-HR"/>
        </w:rPr>
      </w:pPr>
      <w:r w:rsidRPr="001F528E">
        <w:rPr>
          <w:lang w:val="hr-HR"/>
        </w:rPr>
        <w:t>kotizaciji (naknada koju zdravstveni radnici moraju platiti kako bi sudjelovali na stručnom/znanstvenom skupu koji ne organizira Takeda)</w:t>
      </w:r>
    </w:p>
    <w:p w:rsidR="00A40C87" w:rsidRPr="001F528E" w:rsidRDefault="00A40C87" w:rsidP="00A40C87">
      <w:pPr>
        <w:pStyle w:val="ListParagraph"/>
        <w:numPr>
          <w:ilvl w:val="0"/>
          <w:numId w:val="54"/>
        </w:numPr>
        <w:jc w:val="both"/>
        <w:rPr>
          <w:lang w:val="hr-HR"/>
        </w:rPr>
      </w:pPr>
      <w:r w:rsidRPr="001F528E">
        <w:rPr>
          <w:lang w:val="hr-HR"/>
        </w:rPr>
        <w:t xml:space="preserve">sponzorstvu </w:t>
      </w:r>
      <w:r w:rsidR="00FB2BD9" w:rsidRPr="001F528E">
        <w:rPr>
          <w:lang w:val="hr-HR"/>
        </w:rPr>
        <w:t>zdravstvene organizacije u svrhu održavanja sastanka ili skupa</w:t>
      </w:r>
    </w:p>
    <w:p w:rsidR="00FB2BD9" w:rsidRPr="001F528E" w:rsidRDefault="00FB2BD9" w:rsidP="004525A3">
      <w:pPr>
        <w:jc w:val="both"/>
        <w:rPr>
          <w:lang w:val="hr-HR"/>
        </w:rPr>
      </w:pPr>
      <w:r w:rsidRPr="001F528E">
        <w:rPr>
          <w:lang w:val="hr-HR"/>
        </w:rPr>
        <w:t xml:space="preserve">U slučajevima </w:t>
      </w:r>
      <w:r w:rsidR="00DC7027" w:rsidRPr="001F528E">
        <w:rPr>
          <w:lang w:val="hr-HR"/>
        </w:rPr>
        <w:t xml:space="preserve">kada </w:t>
      </w:r>
      <w:r w:rsidRPr="001F528E">
        <w:rPr>
          <w:lang w:val="hr-HR"/>
        </w:rPr>
        <w:t>je zdravstveni radnik morao otkazati sudjelovanje na sponzoriranom sastanku, trošak otkazivanja nije uključen u izvještaj.</w:t>
      </w:r>
    </w:p>
    <w:p w:rsidR="00FB2BD9" w:rsidRPr="001F528E" w:rsidRDefault="00FB2BD9" w:rsidP="001F528E">
      <w:pPr>
        <w:jc w:val="both"/>
        <w:rPr>
          <w:color w:val="000000"/>
          <w:lang w:val="hr-HR"/>
        </w:rPr>
      </w:pPr>
      <w:r w:rsidRPr="001F528E">
        <w:rPr>
          <w:color w:val="000000"/>
          <w:lang w:val="hr-HR"/>
        </w:rPr>
        <w:t xml:space="preserve">Primjeri aktivnosti koji mogu biti uključeni u „ugovore o sponzorstvu“ u </w:t>
      </w:r>
      <w:proofErr w:type="spellStart"/>
      <w:r w:rsidRPr="001F528E">
        <w:rPr>
          <w:color w:val="000000"/>
          <w:lang w:val="hr-HR"/>
        </w:rPr>
        <w:t>Takedinoj</w:t>
      </w:r>
      <w:proofErr w:type="spellEnd"/>
      <w:r w:rsidRPr="001F528E">
        <w:rPr>
          <w:color w:val="000000"/>
          <w:lang w:val="hr-HR"/>
        </w:rPr>
        <w:t xml:space="preserve"> objavi: najam prostora za štand, prostor za oglašavanje (elektronski, tiskani), satelitski simpozij na znanstvenom kongresu, stručni tečajevi koje organiziraju zdravstvene organizacije, prilika za predstavljanje naših proizvoda (uključujući </w:t>
      </w:r>
      <w:proofErr w:type="spellStart"/>
      <w:r w:rsidRPr="001F528E">
        <w:rPr>
          <w:color w:val="000000"/>
          <w:lang w:val="hr-HR"/>
        </w:rPr>
        <w:t>nepromotivne</w:t>
      </w:r>
      <w:proofErr w:type="spellEnd"/>
      <w:r w:rsidRPr="001F528E">
        <w:rPr>
          <w:color w:val="000000"/>
          <w:lang w:val="hr-HR"/>
        </w:rPr>
        <w:t>), sponzorstvo za organiziranje sastanka.</w:t>
      </w:r>
    </w:p>
    <w:p w:rsidR="00067B68" w:rsidRPr="001F528E" w:rsidRDefault="0050455F" w:rsidP="001F528E">
      <w:pPr>
        <w:pStyle w:val="Heading3"/>
        <w:numPr>
          <w:ilvl w:val="2"/>
          <w:numId w:val="45"/>
        </w:numPr>
        <w:ind w:left="567" w:hanging="567"/>
        <w:jc w:val="both"/>
        <w:rPr>
          <w:rFonts w:asciiTheme="minorHAnsi" w:hAnsiTheme="minorHAnsi"/>
          <w:lang w:val="hr-HR"/>
        </w:rPr>
      </w:pPr>
      <w:bookmarkStart w:id="22" w:name="_Toc311393071"/>
      <w:bookmarkStart w:id="23" w:name="_Toc313555996"/>
      <w:bookmarkStart w:id="24" w:name="_Toc478984366"/>
      <w:r w:rsidRPr="001F528E">
        <w:rPr>
          <w:rFonts w:asciiTheme="minorHAnsi" w:hAnsiTheme="minorHAnsi"/>
          <w:lang w:val="hr-HR"/>
        </w:rPr>
        <w:t xml:space="preserve">Naknade za </w:t>
      </w:r>
      <w:r w:rsidR="00110A48" w:rsidRPr="001F528E">
        <w:rPr>
          <w:rFonts w:asciiTheme="minorHAnsi" w:hAnsiTheme="minorHAnsi"/>
          <w:lang w:val="hr-HR"/>
        </w:rPr>
        <w:t xml:space="preserve">obavljene </w:t>
      </w:r>
      <w:r w:rsidRPr="001F528E">
        <w:rPr>
          <w:rFonts w:asciiTheme="minorHAnsi" w:hAnsiTheme="minorHAnsi"/>
          <w:lang w:val="hr-HR"/>
        </w:rPr>
        <w:t>u</w:t>
      </w:r>
      <w:r w:rsidR="00855F18" w:rsidRPr="001F528E">
        <w:rPr>
          <w:rFonts w:asciiTheme="minorHAnsi" w:hAnsiTheme="minorHAnsi"/>
          <w:lang w:val="hr-HR"/>
        </w:rPr>
        <w:t>sluge i savjetovanje</w:t>
      </w:r>
      <w:bookmarkStart w:id="25" w:name="_Toc408833753"/>
      <w:bookmarkEnd w:id="21"/>
      <w:bookmarkEnd w:id="22"/>
      <w:bookmarkEnd w:id="23"/>
      <w:bookmarkEnd w:id="24"/>
    </w:p>
    <w:p w:rsidR="00357B3E" w:rsidRPr="001F528E" w:rsidRDefault="00E33027" w:rsidP="006331E2">
      <w:pPr>
        <w:jc w:val="both"/>
        <w:rPr>
          <w:lang w:val="hr-HR"/>
        </w:rPr>
      </w:pPr>
      <w:r w:rsidRPr="001F528E">
        <w:rPr>
          <w:lang w:val="hr-HR"/>
        </w:rPr>
        <w:t>U objavu su uključeni s</w:t>
      </w:r>
      <w:r w:rsidR="0050455F" w:rsidRPr="001F528E">
        <w:rPr>
          <w:lang w:val="hr-HR"/>
        </w:rPr>
        <w:t xml:space="preserve">vi prenosi vrijednosti vezani uz naknade za </w:t>
      </w:r>
      <w:r w:rsidR="00110A48" w:rsidRPr="001F528E">
        <w:rPr>
          <w:lang w:val="hr-HR"/>
        </w:rPr>
        <w:t>obavljene usluge i savjetovanje koje je Takeda isplatila zdravstvenim radnicima ili zdravstvenim org</w:t>
      </w:r>
      <w:r w:rsidRPr="001F528E">
        <w:rPr>
          <w:lang w:val="hr-HR"/>
        </w:rPr>
        <w:t xml:space="preserve">anizacijama. </w:t>
      </w:r>
      <w:r w:rsidR="006331E2" w:rsidRPr="001F528E">
        <w:rPr>
          <w:lang w:val="hr-HR"/>
        </w:rPr>
        <w:t xml:space="preserve">Ti se prijenosi vrijednosti odnose, primjerice, na sastanak ili događaj (promotivne ili </w:t>
      </w:r>
      <w:proofErr w:type="spellStart"/>
      <w:r w:rsidR="006331E2" w:rsidRPr="001F528E">
        <w:rPr>
          <w:lang w:val="hr-HR"/>
        </w:rPr>
        <w:t>nepromotivne</w:t>
      </w:r>
      <w:proofErr w:type="spellEnd"/>
      <w:r w:rsidR="006331E2" w:rsidRPr="001F528E">
        <w:rPr>
          <w:lang w:val="hr-HR"/>
        </w:rPr>
        <w:t xml:space="preserve"> naravi) na kojem je zdravstveni radnik ili zdravstveni radnik kao zaposlenik zdravstvene organizacije predavač, voditelj obuke ili savjetnik, a mogu biti:</w:t>
      </w:r>
    </w:p>
    <w:p w:rsidR="00C45E97" w:rsidRPr="001F528E" w:rsidRDefault="006331E2" w:rsidP="00C0602C">
      <w:pPr>
        <w:pStyle w:val="ListParagraph"/>
        <w:numPr>
          <w:ilvl w:val="0"/>
          <w:numId w:val="47"/>
        </w:numPr>
        <w:ind w:left="426" w:hanging="426"/>
        <w:jc w:val="both"/>
        <w:rPr>
          <w:lang w:val="hr-HR"/>
        </w:rPr>
      </w:pPr>
      <w:r w:rsidRPr="001F528E">
        <w:rPr>
          <w:lang w:val="hr-HR"/>
        </w:rPr>
        <w:t>novčane naknade</w:t>
      </w:r>
      <w:r w:rsidR="00357B3E" w:rsidRPr="001F528E">
        <w:rPr>
          <w:lang w:val="hr-HR"/>
        </w:rPr>
        <w:t xml:space="preserve"> </w:t>
      </w:r>
      <w:r w:rsidRPr="001F528E">
        <w:rPr>
          <w:i/>
          <w:lang w:val="hr-HR"/>
        </w:rPr>
        <w:t>(naknade za usluge kao što su vrij</w:t>
      </w:r>
      <w:r w:rsidR="00357B3E" w:rsidRPr="001F528E">
        <w:rPr>
          <w:i/>
          <w:lang w:val="hr-HR"/>
        </w:rPr>
        <w:t>e</w:t>
      </w:r>
      <w:r w:rsidRPr="001F528E">
        <w:rPr>
          <w:i/>
          <w:lang w:val="hr-HR"/>
        </w:rPr>
        <w:t>me pripreme, vrijeme za probnu izvedbu, vrijeme putovanja i vrijeme potrebno za izvođenje aktivnosti)</w:t>
      </w:r>
    </w:p>
    <w:p w:rsidR="006813F4" w:rsidRPr="001F528E" w:rsidRDefault="006331E2" w:rsidP="00C0602C">
      <w:pPr>
        <w:pStyle w:val="ListParagraph"/>
        <w:numPr>
          <w:ilvl w:val="0"/>
          <w:numId w:val="47"/>
        </w:numPr>
        <w:ind w:left="426" w:hanging="426"/>
        <w:jc w:val="both"/>
        <w:rPr>
          <w:lang w:val="hr-HR"/>
        </w:rPr>
      </w:pPr>
      <w:r w:rsidRPr="001F528E">
        <w:rPr>
          <w:lang w:val="hr-HR"/>
        </w:rPr>
        <w:t xml:space="preserve">troškovi povezani sa savjetovanjem </w:t>
      </w:r>
      <w:r w:rsidR="00357B3E" w:rsidRPr="001F528E">
        <w:rPr>
          <w:i/>
          <w:lang w:val="hr-HR"/>
        </w:rPr>
        <w:t>(</w:t>
      </w:r>
      <w:r w:rsidRPr="001F528E">
        <w:rPr>
          <w:i/>
          <w:lang w:val="hr-HR"/>
        </w:rPr>
        <w:t>npr</w:t>
      </w:r>
      <w:r w:rsidR="005B20CB" w:rsidRPr="001F528E">
        <w:rPr>
          <w:i/>
          <w:lang w:val="hr-HR"/>
        </w:rPr>
        <w:t>.</w:t>
      </w:r>
      <w:r w:rsidR="00357B3E" w:rsidRPr="001F528E">
        <w:rPr>
          <w:i/>
          <w:lang w:val="hr-HR"/>
        </w:rPr>
        <w:t xml:space="preserve"> </w:t>
      </w:r>
      <w:r w:rsidRPr="001F528E">
        <w:rPr>
          <w:i/>
          <w:lang w:val="hr-HR"/>
        </w:rPr>
        <w:t>trošak putovanja i smještaja</w:t>
      </w:r>
      <w:r w:rsidR="00A6016F" w:rsidRPr="001F528E">
        <w:rPr>
          <w:i/>
          <w:lang w:val="hr-HR"/>
        </w:rPr>
        <w:t>)</w:t>
      </w:r>
    </w:p>
    <w:p w:rsidR="00887500" w:rsidRPr="001F528E" w:rsidRDefault="006331E2" w:rsidP="00C0602C">
      <w:pPr>
        <w:ind w:left="426"/>
        <w:jc w:val="both"/>
        <w:rPr>
          <w:color w:val="000000"/>
          <w:lang w:val="hr-HR"/>
        </w:rPr>
      </w:pPr>
      <w:r w:rsidRPr="001F528E">
        <w:rPr>
          <w:color w:val="000000"/>
          <w:lang w:val="hr-HR"/>
        </w:rPr>
        <w:lastRenderedPageBreak/>
        <w:t xml:space="preserve">Primjeri naknada koje mogu biti </w:t>
      </w:r>
      <w:r w:rsidR="00372541" w:rsidRPr="001F528E">
        <w:rPr>
          <w:color w:val="000000"/>
          <w:lang w:val="hr-HR"/>
        </w:rPr>
        <w:t>uključene</w:t>
      </w:r>
      <w:r w:rsidRPr="001F528E">
        <w:rPr>
          <w:color w:val="000000"/>
          <w:lang w:val="hr-HR"/>
        </w:rPr>
        <w:t xml:space="preserve"> u</w:t>
      </w:r>
      <w:r w:rsidR="00372541" w:rsidRPr="001F528E">
        <w:rPr>
          <w:color w:val="000000"/>
          <w:lang w:val="hr-HR"/>
        </w:rPr>
        <w:t xml:space="preserve"> </w:t>
      </w:r>
      <w:r w:rsidR="00887500" w:rsidRPr="001F528E">
        <w:rPr>
          <w:color w:val="000000"/>
          <w:lang w:val="hr-HR"/>
        </w:rPr>
        <w:t>“</w:t>
      </w:r>
      <w:r w:rsidRPr="001F528E">
        <w:rPr>
          <w:color w:val="000000"/>
          <w:lang w:val="hr-HR"/>
        </w:rPr>
        <w:t xml:space="preserve">Naknade za usluge i savjetovanje </w:t>
      </w:r>
      <w:r w:rsidR="00887500" w:rsidRPr="001F528E">
        <w:rPr>
          <w:color w:val="000000"/>
          <w:lang w:val="hr-HR"/>
        </w:rPr>
        <w:t>(</w:t>
      </w:r>
      <w:r w:rsidRPr="001F528E">
        <w:rPr>
          <w:color w:val="000000"/>
          <w:lang w:val="hr-HR"/>
        </w:rPr>
        <w:t>zdravs</w:t>
      </w:r>
      <w:r w:rsidR="00372541" w:rsidRPr="001F528E">
        <w:rPr>
          <w:color w:val="000000"/>
          <w:lang w:val="hr-HR"/>
        </w:rPr>
        <w:t>t</w:t>
      </w:r>
      <w:r w:rsidRPr="001F528E">
        <w:rPr>
          <w:color w:val="000000"/>
          <w:lang w:val="hr-HR"/>
        </w:rPr>
        <w:t>veni radnici i zdravstvene organizacije</w:t>
      </w:r>
      <w:r w:rsidR="00887500" w:rsidRPr="001F528E">
        <w:rPr>
          <w:color w:val="000000"/>
          <w:lang w:val="hr-HR"/>
        </w:rPr>
        <w:t xml:space="preserve">)“ </w:t>
      </w:r>
      <w:r w:rsidRPr="001F528E">
        <w:rPr>
          <w:color w:val="000000"/>
          <w:lang w:val="hr-HR"/>
        </w:rPr>
        <w:t xml:space="preserve">u </w:t>
      </w:r>
      <w:proofErr w:type="spellStart"/>
      <w:r w:rsidR="00372541" w:rsidRPr="001F528E">
        <w:rPr>
          <w:color w:val="000000"/>
          <w:lang w:val="hr-HR"/>
        </w:rPr>
        <w:t>Takedinoj</w:t>
      </w:r>
      <w:proofErr w:type="spellEnd"/>
      <w:r w:rsidR="00372541" w:rsidRPr="001F528E">
        <w:rPr>
          <w:color w:val="000000"/>
          <w:lang w:val="hr-HR"/>
        </w:rPr>
        <w:t xml:space="preserve"> objavi</w:t>
      </w:r>
      <w:r w:rsidRPr="001F528E">
        <w:rPr>
          <w:color w:val="000000"/>
          <w:lang w:val="hr-HR"/>
        </w:rPr>
        <w:t>:</w:t>
      </w:r>
      <w:r w:rsidR="00887500" w:rsidRPr="001F528E">
        <w:rPr>
          <w:color w:val="000000"/>
          <w:lang w:val="hr-HR"/>
        </w:rPr>
        <w:t xml:space="preserve"> </w:t>
      </w:r>
      <w:r w:rsidR="00372541" w:rsidRPr="001F528E">
        <w:rPr>
          <w:i/>
          <w:color w:val="000000"/>
          <w:lang w:val="hr-HR"/>
        </w:rPr>
        <w:t xml:space="preserve">naknade </w:t>
      </w:r>
      <w:r w:rsidR="00076542" w:rsidRPr="001F528E">
        <w:rPr>
          <w:i/>
          <w:color w:val="000000"/>
          <w:lang w:val="hr-HR"/>
        </w:rPr>
        <w:t>predavačima za programe predavanja i okrugle stolove</w:t>
      </w:r>
      <w:r w:rsidR="00887500" w:rsidRPr="001F528E">
        <w:rPr>
          <w:i/>
          <w:color w:val="000000"/>
          <w:lang w:val="hr-HR"/>
        </w:rPr>
        <w:t xml:space="preserve">; Ad </w:t>
      </w:r>
      <w:proofErr w:type="spellStart"/>
      <w:r w:rsidR="00076542" w:rsidRPr="001F528E">
        <w:rPr>
          <w:i/>
          <w:color w:val="000000"/>
          <w:lang w:val="hr-HR"/>
        </w:rPr>
        <w:t>hoc</w:t>
      </w:r>
      <w:proofErr w:type="spellEnd"/>
      <w:r w:rsidR="00076542" w:rsidRPr="001F528E">
        <w:rPr>
          <w:i/>
          <w:color w:val="000000"/>
          <w:lang w:val="hr-HR"/>
        </w:rPr>
        <w:t xml:space="preserve"> dogovori za konzultacije/savjetovanje</w:t>
      </w:r>
      <w:r w:rsidR="00887500" w:rsidRPr="001F528E">
        <w:rPr>
          <w:i/>
          <w:color w:val="000000"/>
          <w:lang w:val="hr-HR"/>
        </w:rPr>
        <w:t>;</w:t>
      </w:r>
      <w:r w:rsidR="00076542" w:rsidRPr="001F528E">
        <w:rPr>
          <w:i/>
          <w:color w:val="000000"/>
          <w:lang w:val="hr-HR"/>
        </w:rPr>
        <w:t xml:space="preserve"> </w:t>
      </w:r>
      <w:r w:rsidR="00372541" w:rsidRPr="001F528E">
        <w:rPr>
          <w:i/>
          <w:color w:val="000000"/>
          <w:lang w:val="hr-HR"/>
        </w:rPr>
        <w:t xml:space="preserve">naknade </w:t>
      </w:r>
      <w:r w:rsidR="00076542" w:rsidRPr="001F528E">
        <w:rPr>
          <w:i/>
          <w:color w:val="000000"/>
          <w:lang w:val="hr-HR"/>
        </w:rPr>
        <w:t xml:space="preserve">za programe obuke predavača ili obuke </w:t>
      </w:r>
      <w:proofErr w:type="spellStart"/>
      <w:r w:rsidR="00076542" w:rsidRPr="001F528E">
        <w:rPr>
          <w:i/>
          <w:color w:val="000000"/>
          <w:lang w:val="hr-HR"/>
        </w:rPr>
        <w:t>Takedinih</w:t>
      </w:r>
      <w:proofErr w:type="spellEnd"/>
      <w:r w:rsidR="00076542" w:rsidRPr="001F528E">
        <w:rPr>
          <w:i/>
          <w:color w:val="000000"/>
          <w:lang w:val="hr-HR"/>
        </w:rPr>
        <w:t xml:space="preserve"> zaposlenika ili vanjskih suradnika; </w:t>
      </w:r>
      <w:r w:rsidR="00372541" w:rsidRPr="001F528E">
        <w:rPr>
          <w:i/>
          <w:color w:val="000000"/>
          <w:lang w:val="hr-HR"/>
        </w:rPr>
        <w:t xml:space="preserve">naknade </w:t>
      </w:r>
      <w:r w:rsidR="00076542" w:rsidRPr="001F528E">
        <w:rPr>
          <w:i/>
          <w:color w:val="000000"/>
          <w:lang w:val="hr-HR"/>
        </w:rPr>
        <w:t xml:space="preserve">za sastanke savjetodavnih odbora; </w:t>
      </w:r>
      <w:r w:rsidR="00372541" w:rsidRPr="001F528E">
        <w:rPr>
          <w:i/>
          <w:color w:val="000000"/>
          <w:lang w:val="hr-HR"/>
        </w:rPr>
        <w:t xml:space="preserve">sudjelovanje </w:t>
      </w:r>
      <w:r w:rsidR="00076542" w:rsidRPr="001F528E">
        <w:rPr>
          <w:i/>
          <w:color w:val="000000"/>
          <w:lang w:val="hr-HR"/>
        </w:rPr>
        <w:t xml:space="preserve">u ispitivanju radi istraživanja tržišta (samo ako se ne radi o dvostruko slijepim ispitivanjima); </w:t>
      </w:r>
      <w:r w:rsidR="00372541" w:rsidRPr="001F528E">
        <w:rPr>
          <w:i/>
          <w:color w:val="000000"/>
          <w:lang w:val="hr-HR"/>
        </w:rPr>
        <w:t xml:space="preserve">pisanje </w:t>
      </w:r>
      <w:r w:rsidR="00076542" w:rsidRPr="001F528E">
        <w:rPr>
          <w:i/>
          <w:color w:val="000000"/>
          <w:lang w:val="hr-HR"/>
        </w:rPr>
        <w:t xml:space="preserve">medicinskih izvješća; </w:t>
      </w:r>
      <w:r w:rsidR="00372541" w:rsidRPr="001F528E">
        <w:rPr>
          <w:i/>
          <w:color w:val="000000"/>
          <w:lang w:val="hr-HR"/>
        </w:rPr>
        <w:t xml:space="preserve">analiza </w:t>
      </w:r>
      <w:r w:rsidR="00076542" w:rsidRPr="001F528E">
        <w:rPr>
          <w:i/>
          <w:color w:val="000000"/>
          <w:lang w:val="hr-HR"/>
        </w:rPr>
        <w:t xml:space="preserve">podataka; </w:t>
      </w:r>
      <w:r w:rsidR="00372541" w:rsidRPr="001F528E">
        <w:rPr>
          <w:i/>
          <w:color w:val="000000"/>
          <w:lang w:val="hr-HR"/>
        </w:rPr>
        <w:t xml:space="preserve">priprema </w:t>
      </w:r>
      <w:r w:rsidR="002F5A5A" w:rsidRPr="001F528E">
        <w:rPr>
          <w:i/>
          <w:color w:val="000000"/>
          <w:lang w:val="hr-HR"/>
        </w:rPr>
        <w:t xml:space="preserve">edukacijskih materijala; </w:t>
      </w:r>
      <w:r w:rsidR="00372541" w:rsidRPr="001F528E">
        <w:rPr>
          <w:i/>
          <w:color w:val="000000"/>
          <w:lang w:val="hr-HR"/>
        </w:rPr>
        <w:t xml:space="preserve">ankete </w:t>
      </w:r>
      <w:r w:rsidR="002F5A5A" w:rsidRPr="001F528E">
        <w:rPr>
          <w:i/>
          <w:color w:val="000000"/>
          <w:lang w:val="hr-HR"/>
        </w:rPr>
        <w:t xml:space="preserve">radi istraživanja tržišta (samo ako se ne radi o dvostruko slijepim anketama); </w:t>
      </w:r>
      <w:r w:rsidR="00372541" w:rsidRPr="001F528E">
        <w:rPr>
          <w:i/>
          <w:color w:val="000000"/>
          <w:lang w:val="hr-HR"/>
        </w:rPr>
        <w:t xml:space="preserve">konzultantske </w:t>
      </w:r>
      <w:r w:rsidR="002F5A5A" w:rsidRPr="001F528E">
        <w:rPr>
          <w:i/>
          <w:color w:val="000000"/>
          <w:lang w:val="hr-HR"/>
        </w:rPr>
        <w:t>usluge (npr. savjetovanje u vezi protokola ispitivanja, pristupa tržištu, aplikacija za uvrštenje u listu lijekova na teret zdravstvenog osiguranja, ocjene visoke tehnologije)</w:t>
      </w:r>
    </w:p>
    <w:p w:rsidR="001E1973" w:rsidRPr="001F528E" w:rsidRDefault="002F5A5A" w:rsidP="00C0602C">
      <w:pPr>
        <w:pStyle w:val="Heading3"/>
        <w:numPr>
          <w:ilvl w:val="2"/>
          <w:numId w:val="45"/>
        </w:numPr>
        <w:ind w:left="426" w:hanging="426"/>
        <w:jc w:val="both"/>
        <w:rPr>
          <w:rFonts w:asciiTheme="minorHAnsi" w:hAnsiTheme="minorHAnsi"/>
          <w:lang w:val="hr-HR"/>
        </w:rPr>
      </w:pPr>
      <w:bookmarkStart w:id="26" w:name="_Toc311393072"/>
      <w:bookmarkStart w:id="27" w:name="_Toc313555997"/>
      <w:bookmarkStart w:id="28" w:name="_Toc478984367"/>
      <w:r w:rsidRPr="001F528E">
        <w:rPr>
          <w:rFonts w:asciiTheme="minorHAnsi" w:hAnsiTheme="minorHAnsi"/>
          <w:lang w:val="hr-HR"/>
        </w:rPr>
        <w:t>Istraživanje i razvoj</w:t>
      </w:r>
      <w:bookmarkEnd w:id="25"/>
      <w:bookmarkEnd w:id="26"/>
      <w:bookmarkEnd w:id="27"/>
      <w:bookmarkEnd w:id="28"/>
      <w:r w:rsidRPr="001F528E">
        <w:rPr>
          <w:rFonts w:asciiTheme="minorHAnsi" w:hAnsiTheme="minorHAnsi"/>
          <w:lang w:val="hr-HR"/>
        </w:rPr>
        <w:t xml:space="preserve"> </w:t>
      </w:r>
    </w:p>
    <w:p w:rsidR="004525A3" w:rsidRPr="001F528E" w:rsidRDefault="002F5A5A" w:rsidP="00270E79">
      <w:pPr>
        <w:pStyle w:val="ListParagraph"/>
        <w:ind w:left="0" w:right="92"/>
        <w:rPr>
          <w:lang w:val="hr-HR"/>
        </w:rPr>
      </w:pPr>
      <w:r w:rsidRPr="001F528E">
        <w:rPr>
          <w:lang w:val="hr-HR"/>
        </w:rPr>
        <w:t>Prijenosi vrijednosti koji se odnose na djelatnost istraživanja i razvoja obuhvaćeni su ovom objavom. Ti prijenosi vrijednosti uključuju  naknade isplaćene zdravstvenim radnicima ili zdravstvenim organizacijama za usluge povezane s planiranjem ili provedbom:</w:t>
      </w:r>
    </w:p>
    <w:p w:rsidR="006D198A" w:rsidRPr="001F528E" w:rsidRDefault="009268CE" w:rsidP="00270E79">
      <w:pPr>
        <w:pStyle w:val="ListParagraph"/>
        <w:widowControl w:val="0"/>
        <w:numPr>
          <w:ilvl w:val="0"/>
          <w:numId w:val="40"/>
        </w:numPr>
        <w:spacing w:after="0"/>
        <w:ind w:left="639" w:hanging="284"/>
        <w:contextualSpacing w:val="0"/>
        <w:rPr>
          <w:lang w:val="hr-HR"/>
        </w:rPr>
      </w:pPr>
      <w:proofErr w:type="spellStart"/>
      <w:r w:rsidRPr="001F528E">
        <w:rPr>
          <w:color w:val="000000"/>
          <w:lang w:val="hr-HR"/>
        </w:rPr>
        <w:t>nekliničkih</w:t>
      </w:r>
      <w:proofErr w:type="spellEnd"/>
      <w:r w:rsidRPr="001F528E">
        <w:rPr>
          <w:color w:val="000000"/>
          <w:lang w:val="hr-HR"/>
        </w:rPr>
        <w:t xml:space="preserve"> </w:t>
      </w:r>
      <w:r w:rsidR="002F5A5A" w:rsidRPr="001F528E">
        <w:rPr>
          <w:color w:val="000000"/>
          <w:lang w:val="hr-HR"/>
        </w:rPr>
        <w:t xml:space="preserve">ispitivanja u svrhu predaje regulatornim tijelima </w:t>
      </w:r>
      <w:r w:rsidR="006D198A" w:rsidRPr="001F528E">
        <w:rPr>
          <w:lang w:val="hr-HR"/>
        </w:rPr>
        <w:t>(</w:t>
      </w:r>
      <w:r w:rsidR="002F5A5A" w:rsidRPr="001F528E">
        <w:rPr>
          <w:lang w:val="hr-HR"/>
        </w:rPr>
        <w:t xml:space="preserve">kako su definirana u Principima dobre laboratorijske prakse organizacije </w:t>
      </w:r>
      <w:r w:rsidR="006D198A" w:rsidRPr="001F528E">
        <w:rPr>
          <w:lang w:val="hr-HR"/>
        </w:rPr>
        <w:t xml:space="preserve">OECD) </w:t>
      </w:r>
    </w:p>
    <w:p w:rsidR="004525A3" w:rsidRPr="001F528E" w:rsidRDefault="009268CE" w:rsidP="006D198A">
      <w:pPr>
        <w:pStyle w:val="ListParagraph"/>
        <w:widowControl w:val="0"/>
        <w:numPr>
          <w:ilvl w:val="0"/>
          <w:numId w:val="40"/>
        </w:numPr>
        <w:spacing w:after="0" w:line="240" w:lineRule="exact"/>
        <w:ind w:left="639" w:hanging="284"/>
        <w:contextualSpacing w:val="0"/>
        <w:rPr>
          <w:lang w:val="hr-HR"/>
        </w:rPr>
      </w:pPr>
      <w:r w:rsidRPr="001F528E">
        <w:rPr>
          <w:lang w:val="hr-HR"/>
        </w:rPr>
        <w:t xml:space="preserve">kliničkih </w:t>
      </w:r>
      <w:r w:rsidR="002F5A5A" w:rsidRPr="001F528E">
        <w:rPr>
          <w:lang w:val="hr-HR"/>
        </w:rPr>
        <w:t>ispitivanja</w:t>
      </w:r>
      <w:r w:rsidR="006D198A" w:rsidRPr="001F528E">
        <w:rPr>
          <w:lang w:val="hr-HR"/>
        </w:rPr>
        <w:t xml:space="preserve"> (</w:t>
      </w:r>
      <w:r w:rsidR="002F5A5A" w:rsidRPr="001F528E">
        <w:rPr>
          <w:lang w:val="hr-HR"/>
        </w:rPr>
        <w:t xml:space="preserve">kako su definirana </w:t>
      </w:r>
      <w:r w:rsidR="006D198A" w:rsidRPr="001F528E">
        <w:rPr>
          <w:lang w:val="hr-HR"/>
        </w:rPr>
        <w:t>E</w:t>
      </w:r>
      <w:r w:rsidR="002F5A5A" w:rsidRPr="001F528E">
        <w:rPr>
          <w:lang w:val="hr-HR"/>
        </w:rPr>
        <w:t xml:space="preserve">U </w:t>
      </w:r>
      <w:r w:rsidR="006D198A" w:rsidRPr="001F528E">
        <w:rPr>
          <w:lang w:val="hr-HR"/>
        </w:rPr>
        <w:t>Dire</w:t>
      </w:r>
      <w:r w:rsidR="002F5A5A" w:rsidRPr="001F528E">
        <w:rPr>
          <w:lang w:val="hr-HR"/>
        </w:rPr>
        <w:t>ktivom</w:t>
      </w:r>
      <w:r w:rsidR="006D198A" w:rsidRPr="001F528E">
        <w:rPr>
          <w:lang w:val="hr-HR"/>
        </w:rPr>
        <w:t xml:space="preserve"> 2001/20/E</w:t>
      </w:r>
      <w:r w:rsidR="002F5A5A" w:rsidRPr="001F528E">
        <w:rPr>
          <w:lang w:val="hr-HR"/>
        </w:rPr>
        <w:t>Z</w:t>
      </w:r>
      <w:r w:rsidR="006D198A" w:rsidRPr="001F528E">
        <w:rPr>
          <w:lang w:val="hr-HR"/>
        </w:rPr>
        <w:t>)</w:t>
      </w:r>
    </w:p>
    <w:p w:rsidR="004525A3" w:rsidRPr="001F528E" w:rsidRDefault="00286C07" w:rsidP="00C0602C">
      <w:pPr>
        <w:pStyle w:val="ListParagraph"/>
        <w:numPr>
          <w:ilvl w:val="1"/>
          <w:numId w:val="47"/>
        </w:numPr>
        <w:jc w:val="both"/>
        <w:rPr>
          <w:color w:val="000000"/>
          <w:lang w:val="hr-HR"/>
        </w:rPr>
      </w:pPr>
      <w:r w:rsidRPr="001F528E">
        <w:rPr>
          <w:color w:val="000000"/>
          <w:lang w:val="hr-HR"/>
        </w:rPr>
        <w:t>svako kliničko ispitivanje na ljudima u kojem se koristi lijek koji nema odobrenje za stavljanje u promet</w:t>
      </w:r>
      <w:r w:rsidR="006D198A" w:rsidRPr="001F528E">
        <w:rPr>
          <w:color w:val="000000"/>
          <w:lang w:val="hr-HR"/>
        </w:rPr>
        <w:t>;</w:t>
      </w:r>
    </w:p>
    <w:p w:rsidR="00286C07" w:rsidRPr="001F528E" w:rsidRDefault="00286C07" w:rsidP="00C0602C">
      <w:pPr>
        <w:pStyle w:val="ListParagraph"/>
        <w:numPr>
          <w:ilvl w:val="1"/>
          <w:numId w:val="47"/>
        </w:numPr>
        <w:jc w:val="both"/>
        <w:rPr>
          <w:color w:val="000000"/>
          <w:lang w:val="hr-HR"/>
        </w:rPr>
      </w:pPr>
      <w:r w:rsidRPr="001F528E">
        <w:rPr>
          <w:color w:val="000000"/>
          <w:lang w:val="hr-HR"/>
        </w:rPr>
        <w:t xml:space="preserve">svako kliničko ispitivanje na ljudima u kojem se koristi odobren lijek, a u kojem će se taj lijek primjenjivati u neodobrenoj indikaciji ili će se na drugi način propisivati izvan okvira odobrenja za stavljanje u promet, ili u kojem će se bolesnicima </w:t>
      </w:r>
      <w:proofErr w:type="spellStart"/>
      <w:r w:rsidRPr="001F528E">
        <w:rPr>
          <w:color w:val="000000"/>
          <w:lang w:val="hr-HR"/>
        </w:rPr>
        <w:t>prospektivno</w:t>
      </w:r>
      <w:proofErr w:type="spellEnd"/>
      <w:r w:rsidRPr="001F528E">
        <w:rPr>
          <w:color w:val="000000"/>
          <w:lang w:val="hr-HR"/>
        </w:rPr>
        <w:t xml:space="preserve"> dodjeljivati različita liječenja, ili u kojem protokol zahtijeva provedbu dijagnostičkih ili kontrolnih postupaka koji se ne bi provodili da bolesnik nije uključen u ispitivanje; </w:t>
      </w:r>
    </w:p>
    <w:p w:rsidR="004525A3" w:rsidRPr="001F528E" w:rsidRDefault="00286C07" w:rsidP="00C0602C">
      <w:pPr>
        <w:pStyle w:val="ListParagraph"/>
        <w:numPr>
          <w:ilvl w:val="1"/>
          <w:numId w:val="47"/>
        </w:numPr>
        <w:jc w:val="both"/>
        <w:rPr>
          <w:color w:val="000000"/>
          <w:lang w:val="hr-HR"/>
        </w:rPr>
      </w:pPr>
      <w:r w:rsidRPr="001F528E">
        <w:rPr>
          <w:color w:val="000000"/>
          <w:lang w:val="hr-HR"/>
        </w:rPr>
        <w:t xml:space="preserve">svako drugo kliničko ispitivanje na ljudima za koje bi bilo potrebno odobrenje nadležnog regulatornog tijela ako bi se to ispitivanje provodilo u EU, sukladno </w:t>
      </w:r>
      <w:r w:rsidRPr="001F528E">
        <w:rPr>
          <w:lang w:val="hr-HR"/>
        </w:rPr>
        <w:t>Direktivi 2001/20/EZ</w:t>
      </w:r>
    </w:p>
    <w:p w:rsidR="009268CE" w:rsidRPr="001F528E" w:rsidRDefault="009268CE" w:rsidP="00A76A0C">
      <w:pPr>
        <w:pStyle w:val="ListParagraph"/>
        <w:numPr>
          <w:ilvl w:val="0"/>
          <w:numId w:val="40"/>
        </w:numPr>
        <w:ind w:left="709" w:hanging="425"/>
        <w:jc w:val="both"/>
        <w:rPr>
          <w:color w:val="000000"/>
          <w:lang w:val="hr-HR"/>
        </w:rPr>
      </w:pPr>
      <w:proofErr w:type="spellStart"/>
      <w:r w:rsidRPr="001F528E">
        <w:rPr>
          <w:color w:val="000000"/>
          <w:lang w:val="hr-HR"/>
        </w:rPr>
        <w:t>prospektivnog</w:t>
      </w:r>
      <w:proofErr w:type="spellEnd"/>
      <w:r w:rsidRPr="001F528E">
        <w:rPr>
          <w:color w:val="000000"/>
          <w:lang w:val="hr-HR"/>
        </w:rPr>
        <w:t xml:space="preserve"> </w:t>
      </w:r>
      <w:r w:rsidR="00236F86" w:rsidRPr="001F528E">
        <w:rPr>
          <w:color w:val="000000"/>
          <w:lang w:val="hr-HR"/>
        </w:rPr>
        <w:t xml:space="preserve">opservacijskog ispitivanja u kojem se </w:t>
      </w:r>
      <w:r w:rsidRPr="001F528E">
        <w:rPr>
          <w:color w:val="000000"/>
          <w:lang w:val="hr-HR"/>
        </w:rPr>
        <w:t>bolesniku propisuje odobren lijek koji se primjenjuje u skladu s odobrenjem za stavljanje u promet i trenutnom praksom te ostalim zahtjevima navedenima u dijelu 15.01 EFPIA-</w:t>
      </w:r>
      <w:r w:rsidR="009B0987" w:rsidRPr="001F528E">
        <w:rPr>
          <w:color w:val="000000"/>
          <w:lang w:val="hr-HR"/>
        </w:rPr>
        <w:t>inog</w:t>
      </w:r>
      <w:r w:rsidRPr="001F528E">
        <w:rPr>
          <w:color w:val="000000"/>
          <w:lang w:val="hr-HR"/>
        </w:rPr>
        <w:t xml:space="preserve"> </w:t>
      </w:r>
      <w:r w:rsidR="009B0987" w:rsidRPr="001F528E">
        <w:rPr>
          <w:color w:val="000000"/>
          <w:lang w:val="hr-HR"/>
        </w:rPr>
        <w:t>Kodeksa o interakciji sa zdravstvenim radnicima</w:t>
      </w:r>
    </w:p>
    <w:p w:rsidR="004525A3" w:rsidRPr="001F528E" w:rsidRDefault="009268CE" w:rsidP="00372541">
      <w:pPr>
        <w:pStyle w:val="ListParagraph"/>
        <w:numPr>
          <w:ilvl w:val="0"/>
          <w:numId w:val="40"/>
        </w:numPr>
        <w:ind w:left="709" w:hanging="425"/>
        <w:jc w:val="both"/>
        <w:rPr>
          <w:color w:val="000000"/>
          <w:lang w:val="hr-HR"/>
        </w:rPr>
      </w:pPr>
      <w:r w:rsidRPr="001F528E">
        <w:rPr>
          <w:color w:val="000000"/>
          <w:lang w:val="hr-HR"/>
        </w:rPr>
        <w:t>drugih vrsta aktivnosti</w:t>
      </w:r>
      <w:r w:rsidR="004525A3" w:rsidRPr="001F528E">
        <w:rPr>
          <w:color w:val="000000"/>
          <w:lang w:val="hr-HR"/>
        </w:rPr>
        <w:t>:</w:t>
      </w:r>
    </w:p>
    <w:p w:rsidR="009268CE" w:rsidRPr="001F528E" w:rsidRDefault="009268CE" w:rsidP="00C0602C">
      <w:pPr>
        <w:pStyle w:val="ListParagraph"/>
        <w:numPr>
          <w:ilvl w:val="1"/>
          <w:numId w:val="47"/>
        </w:numPr>
        <w:jc w:val="both"/>
        <w:rPr>
          <w:color w:val="000000"/>
          <w:lang w:val="hr-HR"/>
        </w:rPr>
      </w:pPr>
      <w:r w:rsidRPr="001F528E">
        <w:rPr>
          <w:color w:val="000000"/>
          <w:lang w:val="hr-HR"/>
        </w:rPr>
        <w:t xml:space="preserve">aktivnosti povezanih s planiranjem uključivanja, dizajna ili vremena provedbe </w:t>
      </w:r>
      <w:proofErr w:type="spellStart"/>
      <w:r w:rsidRPr="001F528E">
        <w:rPr>
          <w:color w:val="000000"/>
          <w:lang w:val="hr-HR"/>
        </w:rPr>
        <w:t>nekliničkih</w:t>
      </w:r>
      <w:proofErr w:type="spellEnd"/>
      <w:r w:rsidRPr="001F528E">
        <w:rPr>
          <w:color w:val="000000"/>
          <w:lang w:val="hr-HR"/>
        </w:rPr>
        <w:t xml:space="preserve"> ispitivanja, kliničkih ispitivanja i/ili </w:t>
      </w:r>
      <w:proofErr w:type="spellStart"/>
      <w:r w:rsidRPr="001F528E">
        <w:rPr>
          <w:color w:val="000000"/>
          <w:lang w:val="hr-HR"/>
        </w:rPr>
        <w:t>prospektivnih</w:t>
      </w:r>
      <w:proofErr w:type="spellEnd"/>
      <w:r w:rsidRPr="001F528E">
        <w:rPr>
          <w:color w:val="000000"/>
          <w:lang w:val="hr-HR"/>
        </w:rPr>
        <w:t xml:space="preserve"> opservacijskih ispitivanja u kontekstu plana razvoja lijeka</w:t>
      </w:r>
    </w:p>
    <w:p w:rsidR="009268CE" w:rsidRPr="001F528E" w:rsidRDefault="009268CE" w:rsidP="00C0602C">
      <w:pPr>
        <w:pStyle w:val="ListParagraph"/>
        <w:numPr>
          <w:ilvl w:val="1"/>
          <w:numId w:val="47"/>
        </w:numPr>
        <w:jc w:val="both"/>
        <w:rPr>
          <w:color w:val="000000"/>
          <w:lang w:val="hr-HR"/>
        </w:rPr>
      </w:pPr>
      <w:r w:rsidRPr="001F528E">
        <w:rPr>
          <w:color w:val="000000"/>
          <w:lang w:val="hr-HR"/>
        </w:rPr>
        <w:t xml:space="preserve">aktivnosti povezanih s planiranjem specifičnih </w:t>
      </w:r>
      <w:proofErr w:type="spellStart"/>
      <w:r w:rsidRPr="001F528E">
        <w:rPr>
          <w:color w:val="000000"/>
          <w:lang w:val="hr-HR"/>
        </w:rPr>
        <w:t>nekliničkih</w:t>
      </w:r>
      <w:proofErr w:type="spellEnd"/>
      <w:r w:rsidRPr="001F528E">
        <w:rPr>
          <w:color w:val="000000"/>
          <w:lang w:val="hr-HR"/>
        </w:rPr>
        <w:t xml:space="preserve"> ispitivanja, kliničkih ispitivanja i/ili </w:t>
      </w:r>
      <w:proofErr w:type="spellStart"/>
      <w:r w:rsidRPr="001F528E">
        <w:rPr>
          <w:color w:val="000000"/>
          <w:lang w:val="hr-HR"/>
        </w:rPr>
        <w:t>prospektivnih</w:t>
      </w:r>
      <w:proofErr w:type="spellEnd"/>
      <w:r w:rsidRPr="001F528E">
        <w:rPr>
          <w:color w:val="000000"/>
          <w:lang w:val="hr-HR"/>
        </w:rPr>
        <w:t xml:space="preserve"> opservacijskih ispitivanja</w:t>
      </w:r>
    </w:p>
    <w:p w:rsidR="004525A3" w:rsidRPr="001F528E" w:rsidRDefault="009268CE" w:rsidP="009268CE">
      <w:pPr>
        <w:pStyle w:val="ListParagraph"/>
        <w:numPr>
          <w:ilvl w:val="1"/>
          <w:numId w:val="47"/>
        </w:numPr>
        <w:jc w:val="both"/>
        <w:rPr>
          <w:color w:val="000000"/>
          <w:lang w:val="hr-HR"/>
        </w:rPr>
      </w:pPr>
      <w:r w:rsidRPr="001F528E">
        <w:rPr>
          <w:color w:val="000000"/>
          <w:lang w:val="hr-HR"/>
        </w:rPr>
        <w:t xml:space="preserve">aktivnosti povezanih s provođenjem specifičnih </w:t>
      </w:r>
      <w:proofErr w:type="spellStart"/>
      <w:r w:rsidRPr="001F528E">
        <w:rPr>
          <w:color w:val="000000"/>
          <w:lang w:val="hr-HR"/>
        </w:rPr>
        <w:t>nekliničkih</w:t>
      </w:r>
      <w:proofErr w:type="spellEnd"/>
      <w:r w:rsidRPr="001F528E">
        <w:rPr>
          <w:color w:val="000000"/>
          <w:lang w:val="hr-HR"/>
        </w:rPr>
        <w:t xml:space="preserve"> ispitivanja, kliničkih ispitivanja i/ili </w:t>
      </w:r>
      <w:proofErr w:type="spellStart"/>
      <w:r w:rsidRPr="001F528E">
        <w:rPr>
          <w:color w:val="000000"/>
          <w:lang w:val="hr-HR"/>
        </w:rPr>
        <w:t>prospektivnih</w:t>
      </w:r>
      <w:proofErr w:type="spellEnd"/>
      <w:r w:rsidRPr="001F528E">
        <w:rPr>
          <w:color w:val="000000"/>
          <w:lang w:val="hr-HR"/>
        </w:rPr>
        <w:t xml:space="preserve"> opservacijskih ispitivanja</w:t>
      </w:r>
      <w:r w:rsidR="004525A3" w:rsidRPr="001F528E">
        <w:rPr>
          <w:color w:val="000000"/>
          <w:lang w:val="hr-HR"/>
        </w:rPr>
        <w:t xml:space="preserve">. </w:t>
      </w:r>
    </w:p>
    <w:p w:rsidR="004525A3" w:rsidRPr="001F528E" w:rsidRDefault="00150E37" w:rsidP="004525A3">
      <w:pPr>
        <w:jc w:val="both"/>
        <w:rPr>
          <w:color w:val="000000"/>
          <w:lang w:val="hr-HR"/>
        </w:rPr>
      </w:pPr>
      <w:r w:rsidRPr="001F528E">
        <w:rPr>
          <w:color w:val="000000"/>
          <w:lang w:val="hr-HR"/>
        </w:rPr>
        <w:t xml:space="preserve">Primjeri aktivnosti koje mogu biti </w:t>
      </w:r>
      <w:r w:rsidR="00372541" w:rsidRPr="001F528E">
        <w:rPr>
          <w:color w:val="000000"/>
          <w:lang w:val="hr-HR"/>
        </w:rPr>
        <w:t>uključene</w:t>
      </w:r>
      <w:r w:rsidRPr="001F528E">
        <w:rPr>
          <w:color w:val="000000"/>
          <w:lang w:val="hr-HR"/>
        </w:rPr>
        <w:t xml:space="preserve"> u</w:t>
      </w:r>
      <w:r w:rsidR="00372541" w:rsidRPr="001F528E">
        <w:rPr>
          <w:color w:val="000000"/>
          <w:lang w:val="hr-HR"/>
        </w:rPr>
        <w:t xml:space="preserve"> </w:t>
      </w:r>
      <w:r w:rsidR="004525A3" w:rsidRPr="001F528E">
        <w:rPr>
          <w:color w:val="000000"/>
          <w:lang w:val="hr-HR"/>
        </w:rPr>
        <w:t>“</w:t>
      </w:r>
      <w:r w:rsidRPr="001F528E">
        <w:rPr>
          <w:lang w:val="hr-HR"/>
        </w:rPr>
        <w:t>Prijenos</w:t>
      </w:r>
      <w:r w:rsidR="00372541" w:rsidRPr="001F528E">
        <w:rPr>
          <w:lang w:val="hr-HR"/>
        </w:rPr>
        <w:t>e</w:t>
      </w:r>
      <w:r w:rsidRPr="001F528E">
        <w:rPr>
          <w:lang w:val="hr-HR"/>
        </w:rPr>
        <w:t xml:space="preserve"> vrijednosti za istraživanje i razvoj</w:t>
      </w:r>
      <w:r w:rsidR="004525A3" w:rsidRPr="001F528E">
        <w:rPr>
          <w:color w:val="000000"/>
          <w:lang w:val="hr-HR"/>
        </w:rPr>
        <w:t xml:space="preserve">” </w:t>
      </w:r>
      <w:r w:rsidRPr="001F528E">
        <w:rPr>
          <w:color w:val="000000"/>
          <w:lang w:val="hr-HR"/>
        </w:rPr>
        <w:t xml:space="preserve">u </w:t>
      </w:r>
      <w:proofErr w:type="spellStart"/>
      <w:r w:rsidR="00372541" w:rsidRPr="001F528E">
        <w:rPr>
          <w:color w:val="000000"/>
          <w:lang w:val="hr-HR"/>
        </w:rPr>
        <w:t>Takedinoj</w:t>
      </w:r>
      <w:proofErr w:type="spellEnd"/>
      <w:r w:rsidR="00372541" w:rsidRPr="001F528E">
        <w:rPr>
          <w:color w:val="000000"/>
          <w:lang w:val="hr-HR"/>
        </w:rPr>
        <w:t xml:space="preserve"> objavi:</w:t>
      </w:r>
      <w:r w:rsidR="004525A3" w:rsidRPr="001F528E">
        <w:rPr>
          <w:color w:val="000000"/>
          <w:lang w:val="hr-HR"/>
        </w:rPr>
        <w:t xml:space="preserve"> </w:t>
      </w:r>
      <w:r w:rsidRPr="001F528E">
        <w:rPr>
          <w:i/>
          <w:color w:val="000000"/>
          <w:lang w:val="hr-HR"/>
        </w:rPr>
        <w:t>Klinička ispitivanja</w:t>
      </w:r>
      <w:r w:rsidR="004525A3" w:rsidRPr="001F528E">
        <w:rPr>
          <w:i/>
          <w:color w:val="000000"/>
          <w:lang w:val="hr-HR"/>
        </w:rPr>
        <w:t>: regional</w:t>
      </w:r>
      <w:r w:rsidRPr="001F528E">
        <w:rPr>
          <w:i/>
          <w:color w:val="000000"/>
          <w:lang w:val="hr-HR"/>
        </w:rPr>
        <w:t>na</w:t>
      </w:r>
      <w:r w:rsidR="004525A3" w:rsidRPr="001F528E">
        <w:rPr>
          <w:i/>
          <w:color w:val="000000"/>
          <w:lang w:val="hr-HR"/>
        </w:rPr>
        <w:t xml:space="preserve"> </w:t>
      </w:r>
      <w:r w:rsidRPr="001F528E">
        <w:rPr>
          <w:i/>
          <w:color w:val="000000"/>
          <w:lang w:val="hr-HR"/>
        </w:rPr>
        <w:t>i/ili</w:t>
      </w:r>
      <w:r w:rsidR="004525A3" w:rsidRPr="001F528E">
        <w:rPr>
          <w:i/>
          <w:color w:val="000000"/>
          <w:lang w:val="hr-HR"/>
        </w:rPr>
        <w:t xml:space="preserve"> global</w:t>
      </w:r>
      <w:r w:rsidRPr="001F528E">
        <w:rPr>
          <w:i/>
          <w:color w:val="000000"/>
          <w:lang w:val="hr-HR"/>
        </w:rPr>
        <w:t>na</w:t>
      </w:r>
      <w:r w:rsidR="004525A3" w:rsidRPr="001F528E">
        <w:rPr>
          <w:i/>
          <w:color w:val="000000"/>
          <w:lang w:val="hr-HR"/>
        </w:rPr>
        <w:t>, lo</w:t>
      </w:r>
      <w:r w:rsidRPr="001F528E">
        <w:rPr>
          <w:i/>
          <w:color w:val="000000"/>
          <w:lang w:val="hr-HR"/>
        </w:rPr>
        <w:t>k</w:t>
      </w:r>
      <w:r w:rsidR="004525A3" w:rsidRPr="001F528E">
        <w:rPr>
          <w:i/>
          <w:color w:val="000000"/>
          <w:lang w:val="hr-HR"/>
        </w:rPr>
        <w:t>al</w:t>
      </w:r>
      <w:r w:rsidRPr="001F528E">
        <w:rPr>
          <w:i/>
          <w:color w:val="000000"/>
          <w:lang w:val="hr-HR"/>
        </w:rPr>
        <w:t>na</w:t>
      </w:r>
      <w:r w:rsidR="004525A3" w:rsidRPr="001F528E">
        <w:rPr>
          <w:i/>
          <w:color w:val="000000"/>
          <w:lang w:val="hr-HR"/>
        </w:rPr>
        <w:t xml:space="preserve"> </w:t>
      </w:r>
      <w:proofErr w:type="spellStart"/>
      <w:r w:rsidR="004525A3" w:rsidRPr="001F528E">
        <w:rPr>
          <w:i/>
          <w:color w:val="000000"/>
          <w:lang w:val="hr-HR"/>
        </w:rPr>
        <w:t>n</w:t>
      </w:r>
      <w:r w:rsidRPr="001F528E">
        <w:rPr>
          <w:i/>
          <w:color w:val="000000"/>
          <w:lang w:val="hr-HR"/>
        </w:rPr>
        <w:t>ei</w:t>
      </w:r>
      <w:r w:rsidR="004525A3" w:rsidRPr="001F528E">
        <w:rPr>
          <w:i/>
          <w:color w:val="000000"/>
          <w:lang w:val="hr-HR"/>
        </w:rPr>
        <w:t>nterven</w:t>
      </w:r>
      <w:r w:rsidRPr="001F528E">
        <w:rPr>
          <w:i/>
          <w:color w:val="000000"/>
          <w:lang w:val="hr-HR"/>
        </w:rPr>
        <w:t>cijska</w:t>
      </w:r>
      <w:proofErr w:type="spellEnd"/>
      <w:r w:rsidRPr="001F528E">
        <w:rPr>
          <w:i/>
          <w:color w:val="000000"/>
          <w:lang w:val="hr-HR"/>
        </w:rPr>
        <w:t xml:space="preserve"> ispitivanja</w:t>
      </w:r>
    </w:p>
    <w:p w:rsidR="006A678A" w:rsidRPr="001F528E" w:rsidRDefault="00B62C94" w:rsidP="002B57FC">
      <w:pPr>
        <w:jc w:val="both"/>
        <w:rPr>
          <w:lang w:val="hr-HR"/>
        </w:rPr>
      </w:pPr>
      <w:r w:rsidRPr="001F528E">
        <w:rPr>
          <w:lang w:val="hr-HR"/>
        </w:rPr>
        <w:t xml:space="preserve">Prijenosi vrijednosti koji su realizirani neizravno preko ugovornih organizacija za klinička istraživanja (engl. </w:t>
      </w:r>
      <w:proofErr w:type="spellStart"/>
      <w:r w:rsidR="006A15A2" w:rsidRPr="001F528E">
        <w:rPr>
          <w:i/>
          <w:lang w:val="hr-HR"/>
        </w:rPr>
        <w:t>Clinic</w:t>
      </w:r>
      <w:r w:rsidR="002B57FC" w:rsidRPr="001F528E">
        <w:rPr>
          <w:i/>
          <w:lang w:val="hr-HR"/>
        </w:rPr>
        <w:t>al</w:t>
      </w:r>
      <w:proofErr w:type="spellEnd"/>
      <w:r w:rsidR="006A15A2" w:rsidRPr="001F528E">
        <w:rPr>
          <w:i/>
          <w:lang w:val="hr-HR"/>
        </w:rPr>
        <w:t xml:space="preserve"> </w:t>
      </w:r>
      <w:proofErr w:type="spellStart"/>
      <w:r w:rsidR="006A15A2" w:rsidRPr="001F528E">
        <w:rPr>
          <w:i/>
          <w:lang w:val="hr-HR"/>
        </w:rPr>
        <w:t>Research</w:t>
      </w:r>
      <w:proofErr w:type="spellEnd"/>
      <w:r w:rsidR="006A15A2" w:rsidRPr="001F528E">
        <w:rPr>
          <w:i/>
          <w:lang w:val="hr-HR"/>
        </w:rPr>
        <w:t xml:space="preserve"> </w:t>
      </w:r>
      <w:proofErr w:type="spellStart"/>
      <w:r w:rsidR="006A15A2" w:rsidRPr="001F528E">
        <w:rPr>
          <w:i/>
          <w:lang w:val="hr-HR"/>
        </w:rPr>
        <w:t>Organisations</w:t>
      </w:r>
      <w:proofErr w:type="spellEnd"/>
      <w:r w:rsidRPr="001F528E">
        <w:rPr>
          <w:i/>
          <w:lang w:val="hr-HR"/>
        </w:rPr>
        <w:t>,</w:t>
      </w:r>
      <w:r w:rsidR="006A15A2" w:rsidRPr="001F528E">
        <w:rPr>
          <w:lang w:val="hr-HR"/>
        </w:rPr>
        <w:t xml:space="preserve"> CRO)</w:t>
      </w:r>
      <w:r w:rsidRPr="001F528E">
        <w:rPr>
          <w:lang w:val="hr-HR"/>
        </w:rPr>
        <w:t xml:space="preserve"> također su uključeni u poglavlje o istraživanju i razvoju u sklopu objave</w:t>
      </w:r>
      <w:r w:rsidR="006A15A2" w:rsidRPr="001F528E">
        <w:rPr>
          <w:lang w:val="hr-HR"/>
        </w:rPr>
        <w:t>.</w:t>
      </w:r>
    </w:p>
    <w:p w:rsidR="006A678A" w:rsidRPr="001F528E" w:rsidRDefault="00B62C94" w:rsidP="002B57FC">
      <w:pPr>
        <w:jc w:val="both"/>
        <w:rPr>
          <w:lang w:val="hr-HR"/>
        </w:rPr>
      </w:pPr>
      <w:r w:rsidRPr="001F528E">
        <w:rPr>
          <w:lang w:val="hr-HR"/>
        </w:rPr>
        <w:t xml:space="preserve">Prijenosi vrijednosti koji se odnose na istraživanje i razvoj prijavljuju se </w:t>
      </w:r>
      <w:r w:rsidR="009B0987" w:rsidRPr="001F528E">
        <w:rPr>
          <w:lang w:val="hr-HR"/>
        </w:rPr>
        <w:t>zbirno u</w:t>
      </w:r>
      <w:r w:rsidRPr="001F528E">
        <w:rPr>
          <w:lang w:val="hr-HR"/>
        </w:rPr>
        <w:t xml:space="preserve"> ukupn</w:t>
      </w:r>
      <w:r w:rsidR="009B0987" w:rsidRPr="001F528E">
        <w:rPr>
          <w:lang w:val="hr-HR"/>
        </w:rPr>
        <w:t>om</w:t>
      </w:r>
      <w:r w:rsidRPr="001F528E">
        <w:rPr>
          <w:lang w:val="hr-HR"/>
        </w:rPr>
        <w:t xml:space="preserve"> iznos</w:t>
      </w:r>
      <w:r w:rsidR="009B0987" w:rsidRPr="001F528E">
        <w:rPr>
          <w:lang w:val="hr-HR"/>
        </w:rPr>
        <w:t>u</w:t>
      </w:r>
      <w:r w:rsidRPr="001F528E">
        <w:rPr>
          <w:lang w:val="hr-HR"/>
        </w:rPr>
        <w:t xml:space="preserve">, a iznimka su prijenosi vrijednosti za </w:t>
      </w:r>
      <w:r w:rsidR="006A678A" w:rsidRPr="001F528E">
        <w:rPr>
          <w:lang w:val="hr-HR"/>
        </w:rPr>
        <w:t>retrospe</w:t>
      </w:r>
      <w:r w:rsidRPr="001F528E">
        <w:rPr>
          <w:lang w:val="hr-HR"/>
        </w:rPr>
        <w:t>kt</w:t>
      </w:r>
      <w:r w:rsidR="009B0987" w:rsidRPr="001F528E">
        <w:rPr>
          <w:lang w:val="hr-HR"/>
        </w:rPr>
        <w:t>i</w:t>
      </w:r>
      <w:r w:rsidRPr="001F528E">
        <w:rPr>
          <w:lang w:val="hr-HR"/>
        </w:rPr>
        <w:t>vna</w:t>
      </w:r>
      <w:r w:rsidR="006A678A" w:rsidRPr="001F528E">
        <w:rPr>
          <w:spacing w:val="46"/>
          <w:lang w:val="hr-HR"/>
        </w:rPr>
        <w:t xml:space="preserve"> </w:t>
      </w:r>
      <w:proofErr w:type="spellStart"/>
      <w:r w:rsidR="006A678A" w:rsidRPr="001F528E">
        <w:rPr>
          <w:lang w:val="hr-HR"/>
        </w:rPr>
        <w:t>n</w:t>
      </w:r>
      <w:r w:rsidRPr="001F528E">
        <w:rPr>
          <w:lang w:val="hr-HR"/>
        </w:rPr>
        <w:t>e</w:t>
      </w:r>
      <w:r w:rsidR="006A678A" w:rsidRPr="001F528E">
        <w:rPr>
          <w:lang w:val="hr-HR"/>
        </w:rPr>
        <w:t>interven</w:t>
      </w:r>
      <w:r w:rsidRPr="001F528E">
        <w:rPr>
          <w:lang w:val="hr-HR"/>
        </w:rPr>
        <w:t>cijska</w:t>
      </w:r>
      <w:proofErr w:type="spellEnd"/>
      <w:r w:rsidRPr="001F528E">
        <w:rPr>
          <w:lang w:val="hr-HR"/>
        </w:rPr>
        <w:t xml:space="preserve"> ispitivanja, koj</w:t>
      </w:r>
      <w:r w:rsidR="009B0987" w:rsidRPr="001F528E">
        <w:rPr>
          <w:lang w:val="hr-HR"/>
        </w:rPr>
        <w:t>i</w:t>
      </w:r>
      <w:r w:rsidRPr="001F528E">
        <w:rPr>
          <w:lang w:val="hr-HR"/>
        </w:rPr>
        <w:t xml:space="preserve"> </w:t>
      </w:r>
      <w:r w:rsidR="00536C4F" w:rsidRPr="001F528E">
        <w:rPr>
          <w:lang w:val="hr-HR"/>
        </w:rPr>
        <w:t>s</w:t>
      </w:r>
      <w:r w:rsidRPr="001F528E">
        <w:rPr>
          <w:lang w:val="hr-HR"/>
        </w:rPr>
        <w:t xml:space="preserve">e </w:t>
      </w:r>
      <w:r w:rsidR="00536C4F" w:rsidRPr="001F528E">
        <w:rPr>
          <w:lang w:val="hr-HR"/>
        </w:rPr>
        <w:t>u skladu s odredbama</w:t>
      </w:r>
      <w:r w:rsidRPr="001F528E">
        <w:rPr>
          <w:lang w:val="hr-HR"/>
        </w:rPr>
        <w:t xml:space="preserve"> Čl. 15 </w:t>
      </w:r>
      <w:r w:rsidR="009B0987" w:rsidRPr="001F528E">
        <w:rPr>
          <w:color w:val="000000"/>
          <w:lang w:val="hr-HR"/>
        </w:rPr>
        <w:t>EFPIA-inog Kodeksa o interakciji sa zdravstvenim radnicima</w:t>
      </w:r>
      <w:r w:rsidRPr="001F528E">
        <w:rPr>
          <w:spacing w:val="9"/>
          <w:lang w:val="hr-HR"/>
        </w:rPr>
        <w:t xml:space="preserve"> objavljuju pod imenom pojedinog primatelja. </w:t>
      </w:r>
    </w:p>
    <w:p w:rsidR="00067B68" w:rsidRPr="001F528E" w:rsidRDefault="00191A74" w:rsidP="00C0602C">
      <w:pPr>
        <w:pStyle w:val="Heading2"/>
        <w:numPr>
          <w:ilvl w:val="1"/>
          <w:numId w:val="45"/>
        </w:numPr>
        <w:jc w:val="both"/>
        <w:rPr>
          <w:rFonts w:asciiTheme="minorHAnsi" w:hAnsiTheme="minorHAnsi"/>
          <w:lang w:val="hr-HR"/>
        </w:rPr>
      </w:pPr>
      <w:bookmarkStart w:id="29" w:name="_Toc311393073"/>
      <w:bookmarkStart w:id="30" w:name="_Toc313555998"/>
      <w:bookmarkStart w:id="31" w:name="_Toc478984368"/>
      <w:r w:rsidRPr="001F528E">
        <w:rPr>
          <w:rFonts w:asciiTheme="minorHAnsi" w:hAnsiTheme="minorHAnsi"/>
          <w:lang w:val="hr-HR"/>
        </w:rPr>
        <w:lastRenderedPageBreak/>
        <w:t>Prijenos vrijednosti u prekograničnim interakcijama</w:t>
      </w:r>
      <w:bookmarkEnd w:id="29"/>
      <w:bookmarkEnd w:id="30"/>
      <w:bookmarkEnd w:id="31"/>
    </w:p>
    <w:p w:rsidR="00191A74" w:rsidRPr="001F528E" w:rsidRDefault="00191A74" w:rsidP="004525A3">
      <w:pPr>
        <w:jc w:val="both"/>
        <w:rPr>
          <w:lang w:val="hr-HR"/>
        </w:rPr>
      </w:pPr>
      <w:r w:rsidRPr="001F528E">
        <w:rPr>
          <w:lang w:val="hr-HR"/>
        </w:rPr>
        <w:t>Prekogranični prijenosi vrijednosti dio su naše objave. Prekogranične aktivnosti objavljuju se u zemlji u kojoj je primarna poslovna adresa zdravstvenog radnika.</w:t>
      </w:r>
    </w:p>
    <w:p w:rsidR="00191A74" w:rsidRPr="001F528E" w:rsidRDefault="00191A74" w:rsidP="004525A3">
      <w:pPr>
        <w:jc w:val="both"/>
        <w:rPr>
          <w:lang w:val="hr-HR"/>
        </w:rPr>
      </w:pPr>
      <w:r w:rsidRPr="001F528E">
        <w:rPr>
          <w:lang w:val="hr-HR"/>
        </w:rPr>
        <w:t>Primjerice, ako inozemna podružnica društva Takeda sklopi konzultantski ugovor s hrvatskim zdravstvenim  radnikom, Takeda će objaviti podatke o prijenosu vrijednosti povezanih s tim ugovorom u izvješ</w:t>
      </w:r>
      <w:r w:rsidR="008A4246" w:rsidRPr="001F528E">
        <w:rPr>
          <w:lang w:val="hr-HR"/>
        </w:rPr>
        <w:t>taju</w:t>
      </w:r>
      <w:r w:rsidRPr="001F528E">
        <w:rPr>
          <w:lang w:val="hr-HR"/>
        </w:rPr>
        <w:t xml:space="preserve"> za Hrvatsku, sukladno primarnoj poslovnoj adresi tog zdravstvenog radnika.</w:t>
      </w:r>
    </w:p>
    <w:p w:rsidR="008B583C" w:rsidRPr="001F528E" w:rsidRDefault="00191A74" w:rsidP="00C0602C">
      <w:pPr>
        <w:pStyle w:val="Heading1"/>
        <w:numPr>
          <w:ilvl w:val="0"/>
          <w:numId w:val="45"/>
        </w:numPr>
        <w:spacing w:before="0"/>
        <w:jc w:val="both"/>
        <w:rPr>
          <w:rFonts w:asciiTheme="minorHAnsi" w:hAnsiTheme="minorHAnsi"/>
          <w:color w:val="4F81BD" w:themeColor="accent1"/>
          <w:sz w:val="26"/>
          <w:szCs w:val="26"/>
          <w:lang w:val="hr-HR"/>
        </w:rPr>
      </w:pPr>
      <w:r w:rsidRPr="001F528E">
        <w:rPr>
          <w:lang w:val="hr-HR"/>
        </w:rPr>
        <w:t xml:space="preserve"> </w:t>
      </w:r>
      <w:bookmarkStart w:id="32" w:name="_Toc453584314"/>
      <w:bookmarkStart w:id="33" w:name="_Toc453584315"/>
      <w:bookmarkStart w:id="34" w:name="_Toc453584316"/>
      <w:bookmarkStart w:id="35" w:name="_Toc478984369"/>
      <w:bookmarkStart w:id="36" w:name="_Toc311393076"/>
      <w:bookmarkStart w:id="37" w:name="_Toc313556001"/>
      <w:bookmarkStart w:id="38" w:name="_Toc310773575"/>
      <w:bookmarkEnd w:id="32"/>
      <w:bookmarkEnd w:id="33"/>
      <w:bookmarkEnd w:id="34"/>
      <w:r w:rsidR="00E27ACC" w:rsidRPr="001F528E">
        <w:rPr>
          <w:rFonts w:asciiTheme="minorHAnsi" w:hAnsiTheme="minorHAnsi"/>
          <w:color w:val="4F81BD" w:themeColor="accent1"/>
          <w:sz w:val="26"/>
          <w:szCs w:val="26"/>
          <w:lang w:val="hr-HR"/>
        </w:rPr>
        <w:t xml:space="preserve">Suglasnost za </w:t>
      </w:r>
      <w:r w:rsidR="009B0987" w:rsidRPr="001F528E">
        <w:rPr>
          <w:rFonts w:asciiTheme="minorHAnsi" w:hAnsiTheme="minorHAnsi"/>
          <w:color w:val="4F81BD" w:themeColor="accent1"/>
          <w:sz w:val="26"/>
          <w:szCs w:val="26"/>
          <w:lang w:val="hr-HR"/>
        </w:rPr>
        <w:t>korištenje</w:t>
      </w:r>
      <w:r w:rsidR="00E27ACC" w:rsidRPr="001F528E">
        <w:rPr>
          <w:rFonts w:asciiTheme="minorHAnsi" w:hAnsiTheme="minorHAnsi"/>
          <w:color w:val="4F81BD" w:themeColor="accent1"/>
          <w:sz w:val="26"/>
          <w:szCs w:val="26"/>
          <w:lang w:val="hr-HR"/>
        </w:rPr>
        <w:t xml:space="preserve"> osobnih podataka i </w:t>
      </w:r>
      <w:r w:rsidR="009B0987" w:rsidRPr="001F528E">
        <w:rPr>
          <w:rFonts w:asciiTheme="minorHAnsi" w:hAnsiTheme="minorHAnsi"/>
          <w:color w:val="4F81BD" w:themeColor="accent1"/>
          <w:sz w:val="26"/>
          <w:szCs w:val="26"/>
          <w:lang w:val="hr-HR"/>
        </w:rPr>
        <w:t>zbiran</w:t>
      </w:r>
      <w:r w:rsidR="00E27ACC" w:rsidRPr="001F528E">
        <w:rPr>
          <w:rFonts w:asciiTheme="minorHAnsi" w:hAnsiTheme="minorHAnsi"/>
          <w:color w:val="4F81BD" w:themeColor="accent1"/>
          <w:sz w:val="26"/>
          <w:szCs w:val="26"/>
          <w:lang w:val="hr-HR"/>
        </w:rPr>
        <w:t xml:space="preserve"> iznos</w:t>
      </w:r>
      <w:bookmarkEnd w:id="35"/>
    </w:p>
    <w:p w:rsidR="008B583C" w:rsidRPr="001F528E" w:rsidRDefault="008B583C" w:rsidP="008B583C">
      <w:pPr>
        <w:jc w:val="both"/>
        <w:rPr>
          <w:lang w:val="hr-HR"/>
        </w:rPr>
      </w:pPr>
      <w:r w:rsidRPr="001F528E">
        <w:rPr>
          <w:lang w:val="hr-HR"/>
        </w:rPr>
        <w:t xml:space="preserve">Pojedinačna objava podataka o prijenosu vrijednosti pojedinom zdravstvenom radniku regulirana je lokalnim propisima o zaštiti osobnih podataka. </w:t>
      </w:r>
    </w:p>
    <w:p w:rsidR="008B583C" w:rsidRPr="001F528E" w:rsidRDefault="008B583C" w:rsidP="008B583C">
      <w:pPr>
        <w:jc w:val="both"/>
        <w:rPr>
          <w:lang w:val="hr-HR"/>
        </w:rPr>
      </w:pPr>
      <w:r w:rsidRPr="001F528E">
        <w:rPr>
          <w:lang w:val="hr-HR"/>
        </w:rPr>
        <w:t>U Republici Hrvatskoj, zdravstveni radnik mora dati suglasnost za korištenje svojih osobnih podataka kako bi dopustio objavljivanje primljenih prijenosa vrijednosti na razini pojedinca. Ako nije dobivena pojedinačna suglasnost za korištenje osobnih podataka, Takeda će relevantne podatke o prijenosu vrijednosti objaviti kao zbirni iznos koji će obuhvatiti sve zdravstvene radnike koji nisu dali suglasnost za korištenje svojih osobnih podataka.</w:t>
      </w:r>
    </w:p>
    <w:p w:rsidR="008B583C" w:rsidRPr="001F528E" w:rsidRDefault="008B583C" w:rsidP="008B583C">
      <w:pPr>
        <w:jc w:val="both"/>
        <w:rPr>
          <w:lang w:val="hr-HR"/>
        </w:rPr>
      </w:pPr>
      <w:r w:rsidRPr="001F528E">
        <w:rPr>
          <w:lang w:val="hr-HR"/>
        </w:rPr>
        <w:t xml:space="preserve">Za pojedinačnu objavu podataka, Takeda je odlučila prikupiti suglasnost za korištenje osobnih podataka za svaki prijenos vrijednosti koji </w:t>
      </w:r>
      <w:r w:rsidR="00C45E97" w:rsidRPr="001F528E">
        <w:rPr>
          <w:lang w:val="hr-HR"/>
        </w:rPr>
        <w:t xml:space="preserve">je </w:t>
      </w:r>
      <w:r w:rsidRPr="001F528E">
        <w:rPr>
          <w:lang w:val="hr-HR"/>
        </w:rPr>
        <w:t xml:space="preserve">zdravstveni radnik </w:t>
      </w:r>
      <w:r w:rsidR="00C45E97" w:rsidRPr="001F528E">
        <w:rPr>
          <w:lang w:val="hr-HR"/>
        </w:rPr>
        <w:t xml:space="preserve">primio </w:t>
      </w:r>
      <w:r w:rsidRPr="001F528E">
        <w:rPr>
          <w:lang w:val="hr-HR"/>
        </w:rPr>
        <w:t>i tada se svi s time povezani prijenosi vrijednosti moraju objaviti pojedinačno. Ako zdravstveni radnik</w:t>
      </w:r>
      <w:r w:rsidR="00C45E97" w:rsidRPr="001F528E">
        <w:rPr>
          <w:lang w:val="hr-HR"/>
        </w:rPr>
        <w:t xml:space="preserve"> nije dao suglas</w:t>
      </w:r>
      <w:r w:rsidRPr="001F528E">
        <w:rPr>
          <w:lang w:val="hr-HR"/>
        </w:rPr>
        <w:t>nost i tek za jedan prijenos vrijednosti, onda se svi prijenosi vrijednosti koji se odnose na tog zdravstvenog radnika objavljuju zbirno.</w:t>
      </w:r>
    </w:p>
    <w:p w:rsidR="008B583C" w:rsidRPr="001F528E" w:rsidRDefault="008B583C" w:rsidP="008B583C">
      <w:pPr>
        <w:jc w:val="both"/>
        <w:rPr>
          <w:lang w:val="hr-HR"/>
        </w:rPr>
      </w:pPr>
      <w:r w:rsidRPr="001F528E">
        <w:rPr>
          <w:lang w:val="hr-HR"/>
        </w:rPr>
        <w:t>Primjerice, ako je zdravstveni radnik tijekom godine bio ugovorno angažiran za 5 zasebnih aktivnosti i dao je suglasnost za prve četiri ali je odbio dati suglasnost za posljednju, tada će se svi prijenosi vrijednosti koji se odnose na tog zdravstvenog radnika objaviti u zbirnom dijelu izvještaja.</w:t>
      </w:r>
    </w:p>
    <w:p w:rsidR="008B583C" w:rsidRPr="001F528E" w:rsidRDefault="008B583C" w:rsidP="008B583C">
      <w:pPr>
        <w:jc w:val="both"/>
        <w:rPr>
          <w:lang w:val="hr-HR"/>
        </w:rPr>
      </w:pPr>
      <w:r w:rsidRPr="001F528E">
        <w:rPr>
          <w:lang w:val="hr-HR"/>
        </w:rPr>
        <w:t>Zdravstveni radnik ima pravo u svakom trenutku povući svoju suglasnost za neki prijenos vrijednosti. Ako se to dogodi prije službene objave, tada će se svi prijenosi vrijednosti koji se odnose na tog određenog zdravstvenog radnika objaviti u zbirnom dijelu izvještaja.</w:t>
      </w:r>
    </w:p>
    <w:p w:rsidR="008B583C" w:rsidRPr="001F528E" w:rsidRDefault="008B583C" w:rsidP="008B583C">
      <w:pPr>
        <w:jc w:val="both"/>
        <w:rPr>
          <w:lang w:val="hr-HR"/>
        </w:rPr>
      </w:pPr>
      <w:r w:rsidRPr="001F528E">
        <w:rPr>
          <w:lang w:val="hr-HR"/>
        </w:rPr>
        <w:t>Uvažavajući lokalne propise o  zaštiti osobnih podataka, Takeda je uložila maksimalan napor da prikupi suglasnosti o korištenju osobnih podataka neophodne za pojedinačnu objavu podataka o prijenosu vrijednosti. Takeda čuva dokaze o traženju/dobivanju/odbijanju davanja suglasnosti za korištenje osobnih podataka.</w:t>
      </w:r>
    </w:p>
    <w:p w:rsidR="007A2B36" w:rsidRPr="001F528E" w:rsidRDefault="0016395C" w:rsidP="008B583C">
      <w:pPr>
        <w:pStyle w:val="Heading1"/>
        <w:numPr>
          <w:ilvl w:val="0"/>
          <w:numId w:val="45"/>
        </w:numPr>
        <w:spacing w:before="0"/>
        <w:jc w:val="both"/>
        <w:rPr>
          <w:rFonts w:asciiTheme="minorHAnsi" w:hAnsiTheme="minorHAnsi"/>
          <w:color w:val="4F81BD" w:themeColor="accent1"/>
          <w:sz w:val="26"/>
          <w:szCs w:val="26"/>
          <w:lang w:val="hr-HR"/>
        </w:rPr>
      </w:pPr>
      <w:bookmarkStart w:id="39" w:name="_Toc478984370"/>
      <w:r w:rsidRPr="001F528E">
        <w:rPr>
          <w:rFonts w:asciiTheme="minorHAnsi" w:hAnsiTheme="minorHAnsi"/>
          <w:color w:val="4F81BD" w:themeColor="accent1"/>
          <w:sz w:val="26"/>
          <w:szCs w:val="26"/>
          <w:lang w:val="hr-HR"/>
        </w:rPr>
        <w:t>Radne</w:t>
      </w:r>
      <w:r w:rsidRPr="001F528E">
        <w:rPr>
          <w:color w:val="4F81BD" w:themeColor="accent1"/>
          <w:sz w:val="26"/>
          <w:szCs w:val="26"/>
          <w:lang w:val="hr-HR"/>
        </w:rPr>
        <w:t xml:space="preserve"> </w:t>
      </w:r>
      <w:r w:rsidRPr="001F528E">
        <w:rPr>
          <w:rFonts w:asciiTheme="minorHAnsi" w:hAnsiTheme="minorHAnsi"/>
          <w:color w:val="4F81BD" w:themeColor="accent1"/>
          <w:sz w:val="26"/>
          <w:szCs w:val="26"/>
          <w:lang w:val="hr-HR"/>
        </w:rPr>
        <w:t>pretpostavke</w:t>
      </w:r>
      <w:bookmarkEnd w:id="39"/>
    </w:p>
    <w:p w:rsidR="008B583C" w:rsidRPr="006045CD" w:rsidRDefault="00BC3190" w:rsidP="006045CD">
      <w:pPr>
        <w:pStyle w:val="Heading2"/>
        <w:numPr>
          <w:ilvl w:val="1"/>
          <w:numId w:val="58"/>
        </w:numPr>
        <w:jc w:val="both"/>
        <w:rPr>
          <w:rFonts w:asciiTheme="minorHAnsi" w:hAnsiTheme="minorHAnsi"/>
          <w:lang w:val="hr-HR"/>
        </w:rPr>
      </w:pPr>
      <w:bookmarkStart w:id="40" w:name="_Toc478984371"/>
      <w:r w:rsidRPr="006045CD">
        <w:rPr>
          <w:rFonts w:asciiTheme="minorHAnsi" w:hAnsiTheme="minorHAnsi"/>
          <w:lang w:val="hr-HR"/>
        </w:rPr>
        <w:t>Dat</w:t>
      </w:r>
      <w:r w:rsidR="001C61D4" w:rsidRPr="006045CD">
        <w:rPr>
          <w:rFonts w:asciiTheme="minorHAnsi" w:hAnsiTheme="minorHAnsi"/>
          <w:lang w:val="hr-HR"/>
        </w:rPr>
        <w:t>um prijenosa vrijednosti</w:t>
      </w:r>
      <w:bookmarkEnd w:id="36"/>
      <w:bookmarkEnd w:id="37"/>
      <w:bookmarkEnd w:id="40"/>
    </w:p>
    <w:p w:rsidR="001C61D4" w:rsidRPr="001F528E" w:rsidRDefault="001C61D4" w:rsidP="0074362E">
      <w:pPr>
        <w:pStyle w:val="Heading4"/>
        <w:jc w:val="both"/>
        <w:rPr>
          <w:rFonts w:asciiTheme="minorHAnsi" w:eastAsiaTheme="minorEastAsia" w:hAnsiTheme="minorHAnsi" w:cstheme="minorBidi"/>
          <w:b w:val="0"/>
          <w:bCs w:val="0"/>
          <w:i w:val="0"/>
          <w:iCs w:val="0"/>
          <w:color w:val="auto"/>
          <w:lang w:val="hr-HR"/>
        </w:rPr>
      </w:pPr>
      <w:r w:rsidRPr="001F528E">
        <w:rPr>
          <w:rFonts w:asciiTheme="minorHAnsi" w:eastAsiaTheme="minorEastAsia" w:hAnsiTheme="minorHAnsi" w:cstheme="minorBidi"/>
          <w:b w:val="0"/>
          <w:bCs w:val="0"/>
          <w:i w:val="0"/>
          <w:iCs w:val="0"/>
          <w:color w:val="auto"/>
          <w:lang w:val="hr-HR"/>
        </w:rPr>
        <w:t>Unutar društva</w:t>
      </w:r>
      <w:r w:rsidR="00BC3190" w:rsidRPr="001F528E">
        <w:rPr>
          <w:rFonts w:asciiTheme="minorHAnsi" w:eastAsiaTheme="minorEastAsia" w:hAnsiTheme="minorHAnsi" w:cstheme="minorBidi"/>
          <w:b w:val="0"/>
          <w:bCs w:val="0"/>
          <w:i w:val="0"/>
          <w:iCs w:val="0"/>
          <w:color w:val="auto"/>
          <w:lang w:val="hr-HR"/>
        </w:rPr>
        <w:t xml:space="preserve"> </w:t>
      </w:r>
      <w:r w:rsidR="007F3C26" w:rsidRPr="001F528E">
        <w:rPr>
          <w:rFonts w:asciiTheme="minorHAnsi" w:eastAsiaTheme="minorEastAsia" w:hAnsiTheme="minorHAnsi" w:cstheme="minorBidi"/>
          <w:b w:val="0"/>
          <w:bCs w:val="0"/>
          <w:i w:val="0"/>
          <w:iCs w:val="0"/>
          <w:color w:val="auto"/>
          <w:lang w:val="hr-HR"/>
        </w:rPr>
        <w:t>T</w:t>
      </w:r>
      <w:r w:rsidR="00BC3190" w:rsidRPr="001F528E">
        <w:rPr>
          <w:rFonts w:asciiTheme="minorHAnsi" w:eastAsiaTheme="minorEastAsia" w:hAnsiTheme="minorHAnsi" w:cstheme="minorBidi"/>
          <w:b w:val="0"/>
          <w:bCs w:val="0"/>
          <w:i w:val="0"/>
          <w:iCs w:val="0"/>
          <w:color w:val="auto"/>
          <w:lang w:val="hr-HR"/>
        </w:rPr>
        <w:t>akeda</w:t>
      </w:r>
      <w:r w:rsidR="002074DC" w:rsidRPr="001F528E">
        <w:rPr>
          <w:rFonts w:asciiTheme="minorHAnsi" w:eastAsiaTheme="minorEastAsia" w:hAnsiTheme="minorHAnsi" w:cstheme="minorBidi"/>
          <w:b w:val="0"/>
          <w:bCs w:val="0"/>
          <w:i w:val="0"/>
          <w:iCs w:val="0"/>
          <w:color w:val="auto"/>
          <w:lang w:val="hr-HR"/>
        </w:rPr>
        <w:t>,</w:t>
      </w:r>
      <w:r w:rsidR="00BC3190" w:rsidRPr="001F528E">
        <w:rPr>
          <w:rFonts w:asciiTheme="minorHAnsi" w:eastAsiaTheme="minorEastAsia" w:hAnsiTheme="minorHAnsi" w:cstheme="minorBidi"/>
          <w:b w:val="0"/>
          <w:bCs w:val="0"/>
          <w:i w:val="0"/>
          <w:iCs w:val="0"/>
          <w:color w:val="auto"/>
          <w:lang w:val="hr-HR"/>
        </w:rPr>
        <w:t xml:space="preserve"> </w:t>
      </w:r>
      <w:r w:rsidRPr="001F528E">
        <w:rPr>
          <w:rFonts w:asciiTheme="minorHAnsi" w:eastAsiaTheme="minorEastAsia" w:hAnsiTheme="minorHAnsi" w:cstheme="minorBidi"/>
          <w:b w:val="0"/>
          <w:bCs w:val="0"/>
          <w:i w:val="0"/>
          <w:iCs w:val="0"/>
          <w:color w:val="auto"/>
          <w:lang w:val="hr-HR"/>
        </w:rPr>
        <w:t>svaka aktivnost koja se provodi sa zdravstvenom organizacijom ili zdravstvenim radnikom podliježe rigoroznoj procjeni potrebe i internom postupku odobrenja. Nakon odobrenja, Takeda pristupa sklapanju ugovora, što uključuje zahtjev za davanje suglasnosti za objavljivanje podataka o prijenosu vrijednosti, kad god je to primjenjivo. Prati se provedba traženih usluga kako bi se moglo izvršiti plaćanje sukladno odredbama i uvjetima ugovora.</w:t>
      </w:r>
    </w:p>
    <w:p w:rsidR="001C61D4" w:rsidRPr="001F528E" w:rsidRDefault="001C61D4" w:rsidP="001C61D4">
      <w:pPr>
        <w:rPr>
          <w:lang w:val="hr-HR"/>
        </w:rPr>
      </w:pPr>
      <w:r w:rsidRPr="001F528E">
        <w:rPr>
          <w:lang w:val="hr-HR"/>
        </w:rPr>
        <w:t>U našoj zemlji, i sukladno zahtjevima lokalne industrije i zakonskim propisima, kao potvrda prijenosa vrijednosti uzima se datum obavljanja usluge.</w:t>
      </w:r>
    </w:p>
    <w:p w:rsidR="001F7139" w:rsidRPr="001F528E" w:rsidRDefault="001370AE" w:rsidP="009145D6">
      <w:pPr>
        <w:rPr>
          <w:i/>
          <w:lang w:val="hr-HR"/>
        </w:rPr>
      </w:pPr>
      <w:r w:rsidRPr="001F528E">
        <w:rPr>
          <w:i/>
          <w:lang w:val="hr-HR"/>
        </w:rPr>
        <w:t xml:space="preserve">Datumom </w:t>
      </w:r>
      <w:r w:rsidR="001F7139" w:rsidRPr="001F528E">
        <w:rPr>
          <w:i/>
          <w:lang w:val="hr-HR"/>
        </w:rPr>
        <w:t xml:space="preserve">obavljanja usluge smatramo datum kada je usluga zaista i izvršena. Primjerice, ako je zdravstveni radnik sudjelovao na sastanku Savjetodavnog odbora, datum kada je sastanak Savjetodavnog odbora zaista </w:t>
      </w:r>
      <w:r w:rsidR="001F7139" w:rsidRPr="001F528E">
        <w:rPr>
          <w:i/>
          <w:lang w:val="hr-HR"/>
        </w:rPr>
        <w:lastRenderedPageBreak/>
        <w:t>i održan</w:t>
      </w:r>
      <w:r w:rsidR="00C40B38" w:rsidRPr="001F528E">
        <w:rPr>
          <w:i/>
          <w:lang w:val="hr-HR"/>
        </w:rPr>
        <w:t xml:space="preserve"> koristit ć</w:t>
      </w:r>
      <w:r w:rsidR="001F7139" w:rsidRPr="001F528E">
        <w:rPr>
          <w:i/>
          <w:lang w:val="hr-HR"/>
        </w:rPr>
        <w:t>e se za prikupljanje svih s njime povezanih prije</w:t>
      </w:r>
      <w:r w:rsidR="00C40B38" w:rsidRPr="001F528E">
        <w:rPr>
          <w:i/>
          <w:lang w:val="hr-HR"/>
        </w:rPr>
        <w:t>nosa vrijednosti (npr. naknada za pružene usluge, putnih troškova) i tako će se i objaviti, čak i ako su neke naknade zapravo izvršene kasnije.</w:t>
      </w:r>
    </w:p>
    <w:p w:rsidR="00C40B38" w:rsidRPr="001F528E" w:rsidRDefault="001370AE" w:rsidP="009145D6">
      <w:pPr>
        <w:rPr>
          <w:i/>
          <w:lang w:val="hr-HR"/>
        </w:rPr>
      </w:pPr>
      <w:r w:rsidRPr="001F528E">
        <w:rPr>
          <w:i/>
          <w:lang w:val="hr-HR"/>
        </w:rPr>
        <w:t xml:space="preserve">Datumom plaćanja smatramo datum kada je iznos pušten na plaćanje u našem internom sustavu, za što je uvjet izvršenje usluge i sukladnost sa smjernicama EFPIA-e i mehanizmima internog odobrenja u </w:t>
      </w:r>
      <w:proofErr w:type="spellStart"/>
      <w:r w:rsidRPr="001F528E">
        <w:rPr>
          <w:i/>
          <w:lang w:val="hr-HR"/>
        </w:rPr>
        <w:t>Takedi</w:t>
      </w:r>
      <w:proofErr w:type="spellEnd"/>
      <w:r w:rsidRPr="001F528E">
        <w:rPr>
          <w:i/>
          <w:lang w:val="hr-HR"/>
        </w:rPr>
        <w:t>.</w:t>
      </w:r>
    </w:p>
    <w:p w:rsidR="00BC3190" w:rsidRPr="001F528E" w:rsidRDefault="001370AE" w:rsidP="009145D6">
      <w:pPr>
        <w:rPr>
          <w:lang w:val="hr-HR"/>
        </w:rPr>
      </w:pPr>
      <w:r w:rsidRPr="001F528E">
        <w:rPr>
          <w:lang w:val="hr-HR"/>
        </w:rPr>
        <w:t>Primjenjujemo sljedeće pravilo o završnim datumima za uključivanje podataka</w:t>
      </w:r>
      <w:r w:rsidR="00A554CE" w:rsidRPr="001F528E">
        <w:rPr>
          <w:lang w:val="hr-HR"/>
        </w:rPr>
        <w:t>:</w:t>
      </w:r>
    </w:p>
    <w:p w:rsidR="00A554CE" w:rsidRPr="001F528E" w:rsidRDefault="001370AE" w:rsidP="009145D6">
      <w:pPr>
        <w:rPr>
          <w:lang w:val="hr-HR"/>
        </w:rPr>
      </w:pPr>
      <w:r w:rsidRPr="001F528E">
        <w:rPr>
          <w:lang w:val="hr-HR"/>
        </w:rPr>
        <w:t>Ako je</w:t>
      </w:r>
      <w:r w:rsidR="00A554CE" w:rsidRPr="001F528E">
        <w:rPr>
          <w:lang w:val="hr-HR"/>
        </w:rPr>
        <w:t xml:space="preserve"> dat</w:t>
      </w:r>
      <w:r w:rsidRPr="001F528E">
        <w:rPr>
          <w:lang w:val="hr-HR"/>
        </w:rPr>
        <w:t>um usluge</w:t>
      </w:r>
      <w:r w:rsidR="001F528E" w:rsidRPr="001F528E">
        <w:rPr>
          <w:lang w:val="hr-HR"/>
        </w:rPr>
        <w:t xml:space="preserve"> </w:t>
      </w:r>
      <w:r w:rsidRPr="001F528E">
        <w:rPr>
          <w:lang w:val="hr-HR"/>
        </w:rPr>
        <w:t>bio između 1. siječnja i 31. prosinca</w:t>
      </w:r>
      <w:r w:rsidR="00F25C53" w:rsidRPr="001F528E">
        <w:rPr>
          <w:vertAlign w:val="superscript"/>
          <w:lang w:val="hr-HR"/>
        </w:rPr>
        <w:t xml:space="preserve">  </w:t>
      </w:r>
      <w:r w:rsidR="00F25C53" w:rsidRPr="001F528E">
        <w:rPr>
          <w:lang w:val="hr-HR"/>
        </w:rPr>
        <w:t>201</w:t>
      </w:r>
      <w:r w:rsidR="00744432">
        <w:rPr>
          <w:lang w:val="hr-HR"/>
        </w:rPr>
        <w:t>8</w:t>
      </w:r>
      <w:r w:rsidR="00F25C53" w:rsidRPr="001F528E">
        <w:rPr>
          <w:lang w:val="hr-HR"/>
        </w:rPr>
        <w:t xml:space="preserve">, </w:t>
      </w:r>
      <w:r w:rsidRPr="001F528E">
        <w:rPr>
          <w:lang w:val="hr-HR"/>
        </w:rPr>
        <w:t xml:space="preserve">prijenos vrijednosti uključen je u objavu za </w:t>
      </w:r>
      <w:r w:rsidR="00D50C9A" w:rsidRPr="001F528E">
        <w:rPr>
          <w:lang w:val="hr-HR"/>
        </w:rPr>
        <w:t>201</w:t>
      </w:r>
      <w:r w:rsidR="00744432">
        <w:rPr>
          <w:lang w:val="hr-HR"/>
        </w:rPr>
        <w:t>8</w:t>
      </w:r>
      <w:r w:rsidRPr="001F528E">
        <w:rPr>
          <w:lang w:val="hr-HR"/>
        </w:rPr>
        <w:t>. godinu</w:t>
      </w:r>
      <w:r w:rsidR="00D50C9A" w:rsidRPr="001F528E">
        <w:rPr>
          <w:lang w:val="hr-HR"/>
        </w:rPr>
        <w:t>.</w:t>
      </w:r>
    </w:p>
    <w:p w:rsidR="0044238E" w:rsidRPr="001F528E" w:rsidRDefault="001F528E" w:rsidP="009145D6">
      <w:pPr>
        <w:rPr>
          <w:lang w:val="hr-HR"/>
        </w:rPr>
      </w:pPr>
      <w:r w:rsidRPr="001F528E">
        <w:rPr>
          <w:lang w:val="hr-HR"/>
        </w:rPr>
        <w:t>U</w:t>
      </w:r>
      <w:r w:rsidR="008D7F9E" w:rsidRPr="001F528E">
        <w:rPr>
          <w:lang w:val="hr-HR"/>
        </w:rPr>
        <w:t xml:space="preserve"> slučaju uplata izvršenih početkom </w:t>
      </w:r>
      <w:r w:rsidR="009E71F8" w:rsidRPr="001F528E">
        <w:rPr>
          <w:lang w:val="hr-HR"/>
        </w:rPr>
        <w:t>201</w:t>
      </w:r>
      <w:r w:rsidR="00744432">
        <w:rPr>
          <w:lang w:val="hr-HR"/>
        </w:rPr>
        <w:t>9</w:t>
      </w:r>
      <w:r w:rsidR="008D7F9E" w:rsidRPr="001F528E">
        <w:rPr>
          <w:lang w:val="hr-HR"/>
        </w:rPr>
        <w:t>.</w:t>
      </w:r>
      <w:r w:rsidR="00D50C9A" w:rsidRPr="001F528E">
        <w:rPr>
          <w:lang w:val="hr-HR"/>
        </w:rPr>
        <w:t xml:space="preserve"> </w:t>
      </w:r>
      <w:r w:rsidR="008D7F9E" w:rsidRPr="001F528E">
        <w:rPr>
          <w:lang w:val="hr-HR"/>
        </w:rPr>
        <w:t xml:space="preserve">za aktivnosti provedene krajem </w:t>
      </w:r>
      <w:r w:rsidR="009E71F8" w:rsidRPr="001F528E">
        <w:rPr>
          <w:lang w:val="hr-HR"/>
        </w:rPr>
        <w:t>201</w:t>
      </w:r>
      <w:r w:rsidR="00744432">
        <w:rPr>
          <w:lang w:val="hr-HR"/>
        </w:rPr>
        <w:t>8</w:t>
      </w:r>
      <w:r w:rsidR="008D7F9E" w:rsidRPr="001F528E">
        <w:rPr>
          <w:lang w:val="hr-HR"/>
        </w:rPr>
        <w:t>.</w:t>
      </w:r>
      <w:r w:rsidR="00512FFF" w:rsidRPr="001F528E">
        <w:rPr>
          <w:lang w:val="hr-HR"/>
        </w:rPr>
        <w:t xml:space="preserve"> </w:t>
      </w:r>
      <w:r w:rsidR="008D7F9E" w:rsidRPr="001F528E">
        <w:rPr>
          <w:lang w:val="hr-HR"/>
        </w:rPr>
        <w:t>godine</w:t>
      </w:r>
      <w:r w:rsidR="00512FFF" w:rsidRPr="001F528E">
        <w:rPr>
          <w:lang w:val="hr-HR"/>
        </w:rPr>
        <w:t xml:space="preserve">, </w:t>
      </w:r>
      <w:r w:rsidRPr="001F528E">
        <w:rPr>
          <w:lang w:val="hr-HR"/>
        </w:rPr>
        <w:t xml:space="preserve">taj </w:t>
      </w:r>
      <w:r w:rsidR="008D7F9E" w:rsidRPr="001F528E">
        <w:rPr>
          <w:lang w:val="hr-HR"/>
        </w:rPr>
        <w:t xml:space="preserve">prijenos vrijednosti </w:t>
      </w:r>
      <w:r w:rsidRPr="001F528E">
        <w:rPr>
          <w:lang w:val="hr-HR"/>
        </w:rPr>
        <w:t xml:space="preserve">uzet je u obzir </w:t>
      </w:r>
      <w:r w:rsidR="008D7F9E" w:rsidRPr="001F528E">
        <w:rPr>
          <w:lang w:val="hr-HR"/>
        </w:rPr>
        <w:t xml:space="preserve">u objavi za </w:t>
      </w:r>
      <w:r w:rsidR="00C250A7" w:rsidRPr="001F528E">
        <w:rPr>
          <w:lang w:val="hr-HR"/>
        </w:rPr>
        <w:t>201</w:t>
      </w:r>
      <w:r w:rsidR="00744432">
        <w:rPr>
          <w:lang w:val="hr-HR"/>
        </w:rPr>
        <w:t>8</w:t>
      </w:r>
      <w:r w:rsidR="008D7F9E" w:rsidRPr="001F528E">
        <w:rPr>
          <w:lang w:val="hr-HR"/>
        </w:rPr>
        <w:t>. godinu</w:t>
      </w:r>
      <w:r w:rsidR="0044238E" w:rsidRPr="001F528E">
        <w:rPr>
          <w:lang w:val="hr-HR"/>
        </w:rPr>
        <w:t>.</w:t>
      </w:r>
      <w:r w:rsidR="006A678A" w:rsidRPr="001F528E">
        <w:rPr>
          <w:lang w:val="hr-HR"/>
        </w:rPr>
        <w:t xml:space="preserve"> </w:t>
      </w:r>
    </w:p>
    <w:p w:rsidR="00D50C9A" w:rsidRPr="00973CF0" w:rsidRDefault="0044238E" w:rsidP="009145D6">
      <w:pPr>
        <w:rPr>
          <w:i/>
          <w:lang w:val="hr-HR"/>
        </w:rPr>
      </w:pPr>
      <w:r w:rsidRPr="001F528E">
        <w:rPr>
          <w:i/>
          <w:lang w:val="hr-HR"/>
        </w:rPr>
        <w:t xml:space="preserve">Takeda </w:t>
      </w:r>
      <w:r w:rsidR="008D7F9E" w:rsidRPr="001F528E">
        <w:rPr>
          <w:i/>
          <w:lang w:val="hr-HR"/>
        </w:rPr>
        <w:t xml:space="preserve">u vrlo ograničenom opsegu koristi višegodišnje ugovore, koji se uglavnom odnose na djelatnost istraživanja i razvoja. Što se tiče preostalih višegodišnjih ugovora koji se odnose na druge aktivnosti, </w:t>
      </w:r>
      <w:r w:rsidR="00485E73" w:rsidRPr="001F528E">
        <w:rPr>
          <w:i/>
          <w:lang w:val="hr-HR"/>
        </w:rPr>
        <w:t xml:space="preserve">kao kriterij za uključivanje u objavu za pojedinu godinu uzeli smo u obzir </w:t>
      </w:r>
      <w:r w:rsidR="001F528E" w:rsidRPr="001F528E">
        <w:rPr>
          <w:i/>
          <w:lang w:val="hr-HR"/>
        </w:rPr>
        <w:t>uplate</w:t>
      </w:r>
      <w:r w:rsidR="00485E73" w:rsidRPr="001F528E">
        <w:rPr>
          <w:i/>
          <w:lang w:val="hr-HR"/>
        </w:rPr>
        <w:t xml:space="preserve"> izvršene tijekom te kalendarske godine</w:t>
      </w:r>
      <w:r w:rsidR="001F528E" w:rsidRPr="001F528E">
        <w:rPr>
          <w:i/>
          <w:lang w:val="hr-HR"/>
        </w:rPr>
        <w:t>.</w:t>
      </w:r>
    </w:p>
    <w:p w:rsidR="002E1229" w:rsidRPr="001F528E" w:rsidRDefault="00485E73" w:rsidP="008B583C">
      <w:pPr>
        <w:pStyle w:val="Heading2"/>
        <w:numPr>
          <w:ilvl w:val="1"/>
          <w:numId w:val="58"/>
        </w:numPr>
        <w:jc w:val="both"/>
        <w:rPr>
          <w:rFonts w:asciiTheme="minorHAnsi" w:hAnsiTheme="minorHAnsi"/>
          <w:lang w:val="hr-HR"/>
        </w:rPr>
      </w:pPr>
      <w:bookmarkStart w:id="41" w:name="_Toc478984372"/>
      <w:bookmarkStart w:id="42" w:name="_Toc311393077"/>
      <w:bookmarkStart w:id="43" w:name="_Toc313556002"/>
      <w:bookmarkStart w:id="44" w:name="_Toc310773583"/>
      <w:r w:rsidRPr="001F528E">
        <w:rPr>
          <w:rFonts w:asciiTheme="minorHAnsi" w:hAnsiTheme="minorHAnsi"/>
          <w:lang w:val="hr-HR"/>
        </w:rPr>
        <w:t>Valuta</w:t>
      </w:r>
      <w:bookmarkEnd w:id="41"/>
    </w:p>
    <w:p w:rsidR="00704A58" w:rsidRPr="001F528E" w:rsidRDefault="00BC3190" w:rsidP="002E1229">
      <w:pPr>
        <w:jc w:val="both"/>
        <w:rPr>
          <w:lang w:val="hr-HR"/>
        </w:rPr>
      </w:pPr>
      <w:r w:rsidRPr="001F528E">
        <w:rPr>
          <w:lang w:val="hr-HR"/>
        </w:rPr>
        <w:t>Takeda</w:t>
      </w:r>
      <w:r w:rsidR="00704A58" w:rsidRPr="001F528E">
        <w:rPr>
          <w:lang w:val="hr-HR"/>
        </w:rPr>
        <w:t xml:space="preserve"> </w:t>
      </w:r>
      <w:proofErr w:type="spellStart"/>
      <w:r w:rsidR="00704A58" w:rsidRPr="001F528E">
        <w:rPr>
          <w:lang w:val="hr-HR"/>
        </w:rPr>
        <w:t>Pharmaceuticals</w:t>
      </w:r>
      <w:proofErr w:type="spellEnd"/>
      <w:r w:rsidR="00704A58" w:rsidRPr="001F528E">
        <w:rPr>
          <w:lang w:val="hr-HR"/>
        </w:rPr>
        <w:t xml:space="preserve"> Croatia</w:t>
      </w:r>
      <w:r w:rsidRPr="001F528E">
        <w:rPr>
          <w:lang w:val="hr-HR"/>
        </w:rPr>
        <w:t xml:space="preserve"> </w:t>
      </w:r>
      <w:r w:rsidR="00485E73" w:rsidRPr="001F528E">
        <w:rPr>
          <w:lang w:val="hr-HR"/>
        </w:rPr>
        <w:t xml:space="preserve">d.o.o. </w:t>
      </w:r>
      <w:r w:rsidR="00704A58" w:rsidRPr="001F528E">
        <w:rPr>
          <w:lang w:val="hr-HR"/>
        </w:rPr>
        <w:t>odabrala je objaviti podatke</w:t>
      </w:r>
      <w:r w:rsidR="00485E73" w:rsidRPr="001F528E">
        <w:rPr>
          <w:lang w:val="hr-HR"/>
        </w:rPr>
        <w:t xml:space="preserve"> o prijenosu vrijednosti </w:t>
      </w:r>
      <w:r w:rsidR="00704A58" w:rsidRPr="001F528E">
        <w:rPr>
          <w:lang w:val="hr-HR"/>
        </w:rPr>
        <w:t>u</w:t>
      </w:r>
      <w:r w:rsidR="00485E73" w:rsidRPr="001F528E">
        <w:rPr>
          <w:lang w:val="hr-HR"/>
        </w:rPr>
        <w:t xml:space="preserve"> </w:t>
      </w:r>
      <w:r w:rsidR="00704A58" w:rsidRPr="001F528E">
        <w:rPr>
          <w:lang w:val="hr-HR"/>
        </w:rPr>
        <w:t>kunama</w:t>
      </w:r>
      <w:r w:rsidR="00D420A5" w:rsidRPr="001F528E">
        <w:rPr>
          <w:lang w:val="hr-HR"/>
        </w:rPr>
        <w:t xml:space="preserve"> </w:t>
      </w:r>
      <w:r w:rsidR="00704A58" w:rsidRPr="001F528E">
        <w:rPr>
          <w:lang w:val="hr-HR"/>
        </w:rPr>
        <w:t xml:space="preserve">jer je to službena valuta zemlje. U slučaju da je prijenos vrijednosti izvršen u nekoj drugoj valuti, iznos je preračunat u službenu valutu prema tečaju riznice društva Takeda, koji se ažurira na mjesečnoj bazi. </w:t>
      </w:r>
    </w:p>
    <w:p w:rsidR="00973CF0" w:rsidRPr="001F528E" w:rsidRDefault="00704A58" w:rsidP="006045CD">
      <w:pPr>
        <w:jc w:val="both"/>
        <w:rPr>
          <w:lang w:val="hr-HR"/>
        </w:rPr>
      </w:pPr>
      <w:r w:rsidRPr="001F528E">
        <w:rPr>
          <w:lang w:val="hr-HR"/>
        </w:rPr>
        <w:t>Primjer prijenosa vrijednosti izvršenog u inozemnoj valuti je kada je zdravstveni djelatnik imao putn</w:t>
      </w:r>
      <w:r w:rsidR="008B583C" w:rsidRPr="001F528E">
        <w:rPr>
          <w:lang w:val="hr-HR"/>
        </w:rPr>
        <w:t>e</w:t>
      </w:r>
      <w:r w:rsidRPr="001F528E">
        <w:rPr>
          <w:lang w:val="hr-HR"/>
        </w:rPr>
        <w:t xml:space="preserve"> troškov</w:t>
      </w:r>
      <w:r w:rsidR="008B583C" w:rsidRPr="001F528E">
        <w:rPr>
          <w:lang w:val="hr-HR"/>
        </w:rPr>
        <w:t>e</w:t>
      </w:r>
      <w:r w:rsidRPr="001F528E">
        <w:rPr>
          <w:lang w:val="hr-HR"/>
        </w:rPr>
        <w:t xml:space="preserve"> u stranoj zemlji gdje je obavljao uslugu pa smo mu nadoknadili troškove prijevoza.</w:t>
      </w:r>
    </w:p>
    <w:p w:rsidR="00F25C53" w:rsidRPr="001F528E" w:rsidRDefault="008B583C" w:rsidP="008B583C">
      <w:pPr>
        <w:pStyle w:val="Heading2"/>
        <w:numPr>
          <w:ilvl w:val="1"/>
          <w:numId w:val="58"/>
        </w:numPr>
        <w:jc w:val="both"/>
        <w:rPr>
          <w:rFonts w:asciiTheme="minorHAnsi" w:hAnsiTheme="minorHAnsi"/>
          <w:lang w:val="hr-HR"/>
        </w:rPr>
      </w:pPr>
      <w:bookmarkStart w:id="45" w:name="_Toc478984373"/>
      <w:bookmarkEnd w:id="42"/>
      <w:bookmarkEnd w:id="43"/>
      <w:r w:rsidRPr="001F528E">
        <w:rPr>
          <w:rFonts w:asciiTheme="minorHAnsi" w:hAnsiTheme="minorHAnsi"/>
          <w:lang w:val="hr-HR"/>
        </w:rPr>
        <w:t>Porezi</w:t>
      </w:r>
      <w:bookmarkEnd w:id="45"/>
    </w:p>
    <w:p w:rsidR="001F528E" w:rsidRPr="001F528E" w:rsidRDefault="008B583C" w:rsidP="004525A3">
      <w:pPr>
        <w:jc w:val="both"/>
        <w:rPr>
          <w:lang w:val="hr-HR"/>
        </w:rPr>
      </w:pPr>
      <w:r w:rsidRPr="001F528E">
        <w:rPr>
          <w:lang w:val="hr-HR"/>
        </w:rPr>
        <w:t>Plaćene naknade podložne su oporezivanju. Iznosi navedeni u našoj objavi su</w:t>
      </w:r>
      <w:r w:rsidR="00362C42" w:rsidRPr="001F528E">
        <w:rPr>
          <w:lang w:val="hr-HR"/>
        </w:rPr>
        <w:t xml:space="preserve"> </w:t>
      </w:r>
      <w:r w:rsidR="00744432">
        <w:rPr>
          <w:lang w:val="hr-HR"/>
        </w:rPr>
        <w:t>neto</w:t>
      </w:r>
      <w:r w:rsidR="00F40DC6" w:rsidRPr="001F528E">
        <w:rPr>
          <w:lang w:val="hr-HR"/>
        </w:rPr>
        <w:t xml:space="preserve"> </w:t>
      </w:r>
      <w:r w:rsidRPr="001F528E">
        <w:rPr>
          <w:lang w:val="hr-HR"/>
        </w:rPr>
        <w:t>iznosi</w:t>
      </w:r>
      <w:r w:rsidR="0044238E" w:rsidRPr="001F528E">
        <w:rPr>
          <w:lang w:val="hr-HR"/>
        </w:rPr>
        <w:t>.</w:t>
      </w:r>
      <w:r w:rsidR="00362C42" w:rsidRPr="001F528E">
        <w:rPr>
          <w:lang w:val="hr-HR"/>
        </w:rPr>
        <w:t xml:space="preserve"> </w:t>
      </w:r>
    </w:p>
    <w:p w:rsidR="00362C42" w:rsidRPr="00656502" w:rsidRDefault="008B583C" w:rsidP="00656502">
      <w:pPr>
        <w:pStyle w:val="Heading3"/>
        <w:numPr>
          <w:ilvl w:val="2"/>
          <w:numId w:val="45"/>
        </w:numPr>
        <w:ind w:left="426" w:hanging="426"/>
        <w:jc w:val="both"/>
        <w:rPr>
          <w:rFonts w:asciiTheme="minorHAnsi" w:hAnsiTheme="minorHAnsi"/>
          <w:lang w:val="hr-HR"/>
        </w:rPr>
      </w:pPr>
      <w:bookmarkStart w:id="46" w:name="_Toc478984374"/>
      <w:r w:rsidRPr="001F528E">
        <w:rPr>
          <w:rFonts w:asciiTheme="minorHAnsi" w:hAnsiTheme="minorHAnsi"/>
          <w:lang w:val="hr-HR"/>
        </w:rPr>
        <w:t>Porez na dodanu vrijednost</w:t>
      </w:r>
      <w:r w:rsidR="00D420A5" w:rsidRPr="001F528E">
        <w:rPr>
          <w:rFonts w:asciiTheme="minorHAnsi" w:hAnsiTheme="minorHAnsi"/>
          <w:lang w:val="hr-HR"/>
        </w:rPr>
        <w:t xml:space="preserve"> (</w:t>
      </w:r>
      <w:r w:rsidRPr="001F528E">
        <w:rPr>
          <w:rFonts w:asciiTheme="minorHAnsi" w:hAnsiTheme="minorHAnsi"/>
          <w:lang w:val="hr-HR"/>
        </w:rPr>
        <w:t>PDV</w:t>
      </w:r>
      <w:r w:rsidR="00D420A5" w:rsidRPr="001F528E">
        <w:rPr>
          <w:rFonts w:asciiTheme="minorHAnsi" w:hAnsiTheme="minorHAnsi"/>
          <w:lang w:val="hr-HR"/>
        </w:rPr>
        <w:t>)</w:t>
      </w:r>
      <w:bookmarkEnd w:id="46"/>
    </w:p>
    <w:p w:rsidR="00186F65" w:rsidRDefault="008B583C" w:rsidP="00362C42">
      <w:pPr>
        <w:jc w:val="both"/>
        <w:rPr>
          <w:lang w:val="hr-HR"/>
        </w:rPr>
      </w:pPr>
      <w:r w:rsidRPr="001F528E">
        <w:rPr>
          <w:lang w:val="hr-HR"/>
        </w:rPr>
        <w:t>Na troškove</w:t>
      </w:r>
      <w:r w:rsidR="006A0DAC">
        <w:rPr>
          <w:lang w:val="hr-HR"/>
        </w:rPr>
        <w:t xml:space="preserve"> puta, </w:t>
      </w:r>
      <w:r w:rsidRPr="001F528E">
        <w:rPr>
          <w:lang w:val="hr-HR"/>
        </w:rPr>
        <w:t>smještaja</w:t>
      </w:r>
      <w:r w:rsidR="006A0DAC">
        <w:rPr>
          <w:lang w:val="hr-HR"/>
        </w:rPr>
        <w:t xml:space="preserve">, hrane i kotizacije </w:t>
      </w:r>
      <w:r w:rsidRPr="001F528E">
        <w:rPr>
          <w:lang w:val="hr-HR"/>
        </w:rPr>
        <w:t xml:space="preserve">obračunava se PDV. Podaci prikupljeni i objavljeni u izvještaju </w:t>
      </w:r>
      <w:r w:rsidR="006A0DAC">
        <w:rPr>
          <w:lang w:val="hr-HR"/>
        </w:rPr>
        <w:t xml:space="preserve">o prijenosu vrijednosti zdravstvenim radnicima </w:t>
      </w:r>
      <w:r w:rsidR="00186F65">
        <w:rPr>
          <w:lang w:val="hr-HR"/>
        </w:rPr>
        <w:t>uključuju</w:t>
      </w:r>
      <w:r w:rsidR="00186F65" w:rsidRPr="001F528E">
        <w:rPr>
          <w:lang w:val="hr-HR"/>
        </w:rPr>
        <w:t xml:space="preserve"> </w:t>
      </w:r>
      <w:r w:rsidRPr="001F528E">
        <w:rPr>
          <w:lang w:val="hr-HR"/>
        </w:rPr>
        <w:t>PDV.</w:t>
      </w:r>
    </w:p>
    <w:p w:rsidR="00186F65" w:rsidRPr="001F528E" w:rsidRDefault="00186F65" w:rsidP="00362C42">
      <w:pPr>
        <w:jc w:val="both"/>
        <w:rPr>
          <w:lang w:val="hr-HR"/>
        </w:rPr>
      </w:pPr>
      <w:r>
        <w:rPr>
          <w:lang w:val="hr-HR"/>
        </w:rPr>
        <w:t xml:space="preserve">U objavljenom </w:t>
      </w:r>
      <w:r w:rsidR="006A0DAC">
        <w:rPr>
          <w:lang w:val="hr-HR"/>
        </w:rPr>
        <w:t>izvještaju o prijenosu</w:t>
      </w:r>
      <w:r>
        <w:rPr>
          <w:lang w:val="hr-HR"/>
        </w:rPr>
        <w:t xml:space="preserve"> vrijednosti zdravstvenim organizacijama kao sponzorstvima u svrhu održavanja sastanaka ili skupa, PDV je isključen.</w:t>
      </w:r>
    </w:p>
    <w:p w:rsidR="00545024" w:rsidRPr="001F528E" w:rsidRDefault="0039066A" w:rsidP="008B583C">
      <w:pPr>
        <w:pStyle w:val="Heading2"/>
        <w:numPr>
          <w:ilvl w:val="0"/>
          <w:numId w:val="58"/>
        </w:numPr>
        <w:jc w:val="both"/>
        <w:rPr>
          <w:rFonts w:asciiTheme="minorHAnsi" w:hAnsiTheme="minorHAnsi"/>
          <w:lang w:val="hr-HR"/>
        </w:rPr>
      </w:pPr>
      <w:bookmarkStart w:id="47" w:name="_Toc478984375"/>
      <w:r w:rsidRPr="001F528E">
        <w:rPr>
          <w:rFonts w:asciiTheme="minorHAnsi" w:hAnsiTheme="minorHAnsi"/>
          <w:lang w:val="hr-HR"/>
        </w:rPr>
        <w:t>Rješavanje sporova</w:t>
      </w:r>
      <w:bookmarkEnd w:id="47"/>
      <w:r w:rsidR="00545024" w:rsidRPr="001F528E">
        <w:rPr>
          <w:rFonts w:asciiTheme="minorHAnsi" w:hAnsiTheme="minorHAnsi"/>
          <w:lang w:val="hr-HR"/>
        </w:rPr>
        <w:t xml:space="preserve"> </w:t>
      </w:r>
    </w:p>
    <w:p w:rsidR="0039066A" w:rsidRPr="001F528E" w:rsidRDefault="00545024" w:rsidP="00C0602C">
      <w:pPr>
        <w:pStyle w:val="NormalWeb"/>
        <w:spacing w:before="0" w:beforeAutospacing="0" w:after="200" w:afterAutospacing="0" w:line="276" w:lineRule="auto"/>
        <w:rPr>
          <w:rFonts w:asciiTheme="minorHAnsi" w:eastAsiaTheme="minorEastAsia" w:hAnsiTheme="minorHAnsi" w:cstheme="minorBidi"/>
          <w:sz w:val="22"/>
          <w:szCs w:val="22"/>
          <w:lang w:val="hr-HR" w:eastAsia="en-US"/>
        </w:rPr>
      </w:pPr>
      <w:r w:rsidRPr="001F528E">
        <w:rPr>
          <w:rFonts w:asciiTheme="minorHAnsi" w:eastAsiaTheme="minorEastAsia" w:hAnsiTheme="minorHAnsi" w:cstheme="minorBidi"/>
          <w:sz w:val="22"/>
          <w:szCs w:val="22"/>
          <w:lang w:val="hr-HR" w:eastAsia="en-US"/>
        </w:rPr>
        <w:t xml:space="preserve">Takeda </w:t>
      </w:r>
      <w:r w:rsidR="0039066A" w:rsidRPr="001F528E">
        <w:rPr>
          <w:rFonts w:asciiTheme="minorHAnsi" w:eastAsiaTheme="minorEastAsia" w:hAnsiTheme="minorHAnsi" w:cstheme="minorBidi"/>
          <w:sz w:val="22"/>
          <w:szCs w:val="22"/>
          <w:lang w:val="hr-HR" w:eastAsia="en-US"/>
        </w:rPr>
        <w:t>je implementirala interni proces za rješavanje sporova, primjerice u slučaju općenitih pitanja i neslaganja s podacima koji su prijavljeni i/ili zahtjevima za dodavanje ili povlačenje suglasnosti zdravstvenih radnika/ zdravstvenih organizacija za obj</w:t>
      </w:r>
      <w:r w:rsidR="00F40DC6">
        <w:rPr>
          <w:rFonts w:asciiTheme="minorHAnsi" w:eastAsiaTheme="minorEastAsia" w:hAnsiTheme="minorHAnsi" w:cstheme="minorBidi"/>
          <w:sz w:val="22"/>
          <w:szCs w:val="22"/>
          <w:lang w:val="hr-HR" w:eastAsia="en-US"/>
        </w:rPr>
        <w:t>a</w:t>
      </w:r>
      <w:r w:rsidR="0039066A" w:rsidRPr="001F528E">
        <w:rPr>
          <w:rFonts w:asciiTheme="minorHAnsi" w:eastAsiaTheme="minorEastAsia" w:hAnsiTheme="minorHAnsi" w:cstheme="minorBidi"/>
          <w:sz w:val="22"/>
          <w:szCs w:val="22"/>
          <w:lang w:val="hr-HR" w:eastAsia="en-US"/>
        </w:rPr>
        <w:t>vu osobnih podataka.</w:t>
      </w:r>
    </w:p>
    <w:p w:rsidR="00545024" w:rsidRDefault="0039066A" w:rsidP="00C0602C">
      <w:pPr>
        <w:pStyle w:val="NormalWeb"/>
        <w:spacing w:before="0" w:beforeAutospacing="0" w:after="200" w:afterAutospacing="0" w:line="276" w:lineRule="auto"/>
        <w:rPr>
          <w:rFonts w:asciiTheme="minorHAnsi" w:eastAsiaTheme="minorEastAsia" w:hAnsiTheme="minorHAnsi" w:cstheme="minorBidi"/>
          <w:sz w:val="22"/>
          <w:szCs w:val="22"/>
          <w:lang w:val="hr-HR" w:eastAsia="en-US"/>
        </w:rPr>
      </w:pPr>
      <w:r w:rsidRPr="001F528E">
        <w:rPr>
          <w:rFonts w:asciiTheme="minorHAnsi" w:eastAsiaTheme="minorEastAsia" w:hAnsiTheme="minorHAnsi" w:cstheme="minorBidi"/>
          <w:sz w:val="22"/>
          <w:szCs w:val="22"/>
          <w:lang w:val="hr-HR" w:eastAsia="en-US"/>
        </w:rPr>
        <w:t xml:space="preserve">Ako imate komentara ili pitanja o načinu na koji je </w:t>
      </w:r>
      <w:r w:rsidR="00545024" w:rsidRPr="001F528E">
        <w:rPr>
          <w:rFonts w:asciiTheme="minorHAnsi" w:eastAsiaTheme="minorEastAsia" w:hAnsiTheme="minorHAnsi" w:cstheme="minorBidi"/>
          <w:sz w:val="22"/>
          <w:szCs w:val="22"/>
          <w:lang w:val="hr-HR" w:eastAsia="en-US"/>
        </w:rPr>
        <w:t xml:space="preserve">Takeda </w:t>
      </w:r>
      <w:r w:rsidRPr="001F528E">
        <w:rPr>
          <w:rFonts w:asciiTheme="minorHAnsi" w:eastAsiaTheme="minorEastAsia" w:hAnsiTheme="minorHAnsi" w:cstheme="minorBidi"/>
          <w:sz w:val="22"/>
          <w:szCs w:val="22"/>
          <w:lang w:val="hr-HR" w:eastAsia="en-US"/>
        </w:rPr>
        <w:t>obradila vaše podatke, o ov</w:t>
      </w:r>
      <w:r w:rsidR="00272131" w:rsidRPr="001F528E">
        <w:rPr>
          <w:rFonts w:asciiTheme="minorHAnsi" w:eastAsiaTheme="minorEastAsia" w:hAnsiTheme="minorHAnsi" w:cstheme="minorBidi"/>
          <w:sz w:val="22"/>
          <w:szCs w:val="22"/>
          <w:lang w:val="hr-HR" w:eastAsia="en-US"/>
        </w:rPr>
        <w:t>im metodološkim bilješkama</w:t>
      </w:r>
      <w:r w:rsidRPr="001F528E">
        <w:rPr>
          <w:rFonts w:asciiTheme="minorHAnsi" w:eastAsiaTheme="minorEastAsia" w:hAnsiTheme="minorHAnsi" w:cstheme="minorBidi"/>
          <w:sz w:val="22"/>
          <w:szCs w:val="22"/>
          <w:lang w:val="hr-HR" w:eastAsia="en-US"/>
        </w:rPr>
        <w:t xml:space="preserve">, sadržaju objave ili </w:t>
      </w:r>
      <w:proofErr w:type="spellStart"/>
      <w:r w:rsidRPr="001F528E">
        <w:rPr>
          <w:rFonts w:asciiTheme="minorHAnsi" w:eastAsiaTheme="minorEastAsia" w:hAnsiTheme="minorHAnsi" w:cstheme="minorBidi"/>
          <w:sz w:val="22"/>
          <w:szCs w:val="22"/>
          <w:lang w:val="hr-HR" w:eastAsia="en-US"/>
        </w:rPr>
        <w:t>Takedinoj</w:t>
      </w:r>
      <w:proofErr w:type="spellEnd"/>
      <w:r w:rsidRPr="001F528E">
        <w:rPr>
          <w:rFonts w:asciiTheme="minorHAnsi" w:eastAsiaTheme="minorEastAsia" w:hAnsiTheme="minorHAnsi" w:cstheme="minorBidi"/>
          <w:sz w:val="22"/>
          <w:szCs w:val="22"/>
          <w:lang w:val="hr-HR" w:eastAsia="en-US"/>
        </w:rPr>
        <w:t xml:space="preserve"> politici zaštite osobnih podataka, obratite se</w:t>
      </w:r>
      <w:r w:rsidR="00545024" w:rsidRPr="001F528E">
        <w:rPr>
          <w:rFonts w:asciiTheme="minorHAnsi" w:eastAsiaTheme="minorEastAsia" w:hAnsiTheme="minorHAnsi" w:cstheme="minorBidi"/>
          <w:sz w:val="22"/>
          <w:szCs w:val="22"/>
          <w:lang w:val="hr-HR" w:eastAsia="en-US"/>
        </w:rPr>
        <w:t xml:space="preserve"> </w:t>
      </w:r>
      <w:r w:rsidRPr="001F528E">
        <w:rPr>
          <w:rFonts w:asciiTheme="minorHAnsi" w:eastAsiaTheme="minorEastAsia" w:hAnsiTheme="minorHAnsi" w:cstheme="minorBidi"/>
          <w:sz w:val="22"/>
          <w:szCs w:val="22"/>
          <w:lang w:val="hr-HR" w:eastAsia="en-US"/>
        </w:rPr>
        <w:t>na</w:t>
      </w:r>
      <w:r w:rsidR="00545024" w:rsidRPr="001F528E">
        <w:rPr>
          <w:rFonts w:asciiTheme="minorHAnsi" w:eastAsiaTheme="minorEastAsia" w:hAnsiTheme="minorHAnsi" w:cstheme="minorBidi"/>
          <w:sz w:val="22"/>
          <w:szCs w:val="22"/>
          <w:lang w:val="hr-HR" w:eastAsia="en-US"/>
        </w:rPr>
        <w:t xml:space="preserve"> </w:t>
      </w:r>
      <w:bookmarkEnd w:id="38"/>
      <w:bookmarkEnd w:id="44"/>
      <w:r w:rsidR="00744432">
        <w:rPr>
          <w:rFonts w:asciiTheme="minorHAnsi" w:eastAsiaTheme="minorEastAsia" w:hAnsiTheme="minorHAnsi" w:cstheme="minorBidi"/>
          <w:sz w:val="22"/>
          <w:szCs w:val="22"/>
          <w:lang w:val="hr-HR" w:eastAsia="en-US"/>
        </w:rPr>
        <w:fldChar w:fldCharType="begin"/>
      </w:r>
      <w:r w:rsidR="00744432">
        <w:rPr>
          <w:rFonts w:asciiTheme="minorHAnsi" w:eastAsiaTheme="minorEastAsia" w:hAnsiTheme="minorHAnsi" w:cstheme="minorBidi"/>
          <w:sz w:val="22"/>
          <w:szCs w:val="22"/>
          <w:lang w:val="hr-HR" w:eastAsia="en-US"/>
        </w:rPr>
        <w:instrText xml:space="preserve"> HYPERLINK "mailto:transparency-ECE@takeda.com" </w:instrText>
      </w:r>
      <w:r w:rsidR="00744432">
        <w:rPr>
          <w:rFonts w:asciiTheme="minorHAnsi" w:eastAsiaTheme="minorEastAsia" w:hAnsiTheme="minorHAnsi" w:cstheme="minorBidi"/>
          <w:sz w:val="22"/>
          <w:szCs w:val="22"/>
          <w:lang w:val="hr-HR" w:eastAsia="en-US"/>
        </w:rPr>
        <w:fldChar w:fldCharType="separate"/>
      </w:r>
      <w:r w:rsidR="00744432" w:rsidRPr="00BB3B90">
        <w:rPr>
          <w:rStyle w:val="Hyperlink"/>
          <w:rFonts w:asciiTheme="minorHAnsi" w:eastAsiaTheme="minorEastAsia" w:hAnsiTheme="minorHAnsi" w:cstheme="minorBidi"/>
          <w:sz w:val="22"/>
          <w:szCs w:val="22"/>
          <w:lang w:val="hr-HR" w:eastAsia="en-US"/>
        </w:rPr>
        <w:t>transparency-ECE@takeda.com</w:t>
      </w:r>
      <w:r w:rsidR="00744432">
        <w:rPr>
          <w:rFonts w:asciiTheme="minorHAnsi" w:eastAsiaTheme="minorEastAsia" w:hAnsiTheme="minorHAnsi" w:cstheme="minorBidi"/>
          <w:sz w:val="22"/>
          <w:szCs w:val="22"/>
          <w:lang w:val="hr-HR" w:eastAsia="en-US"/>
        </w:rPr>
        <w:fldChar w:fldCharType="end"/>
      </w:r>
      <w:r w:rsidR="00744432">
        <w:rPr>
          <w:rFonts w:asciiTheme="minorHAnsi" w:eastAsiaTheme="minorEastAsia" w:hAnsiTheme="minorHAnsi" w:cstheme="minorBidi"/>
          <w:sz w:val="22"/>
          <w:szCs w:val="22"/>
          <w:lang w:val="hr-HR" w:eastAsia="en-US"/>
        </w:rPr>
        <w:t xml:space="preserve"> ili </w:t>
      </w:r>
      <w:hyperlink r:id="rId11" w:history="1">
        <w:r w:rsidR="0097455D" w:rsidRPr="00EB6958">
          <w:rPr>
            <w:rStyle w:val="Hyperlink"/>
            <w:rFonts w:asciiTheme="minorHAnsi" w:eastAsiaTheme="minorEastAsia" w:hAnsiTheme="minorHAnsi" w:cstheme="minorBidi"/>
            <w:sz w:val="22"/>
            <w:szCs w:val="22"/>
            <w:lang w:val="hr-HR" w:eastAsia="en-US"/>
          </w:rPr>
          <w:t>dataprivacy@takeda.com</w:t>
        </w:r>
      </w:hyperlink>
      <w:r w:rsidR="0097455D">
        <w:rPr>
          <w:rFonts w:asciiTheme="minorHAnsi" w:eastAsiaTheme="minorEastAsia" w:hAnsiTheme="minorHAnsi" w:cstheme="minorBidi"/>
          <w:sz w:val="22"/>
          <w:szCs w:val="22"/>
          <w:lang w:val="hr-HR" w:eastAsia="en-US"/>
        </w:rPr>
        <w:t>.</w:t>
      </w:r>
    </w:p>
    <w:p w:rsidR="0097455D" w:rsidRPr="0097455D" w:rsidRDefault="0097455D" w:rsidP="0097455D">
      <w:pPr>
        <w:pStyle w:val="NormalWeb"/>
        <w:spacing w:before="0" w:beforeAutospacing="0" w:after="200" w:afterAutospacing="0" w:line="276" w:lineRule="auto"/>
        <w:rPr>
          <w:rFonts w:asciiTheme="minorHAnsi" w:eastAsiaTheme="minorEastAsia" w:hAnsiTheme="minorHAnsi" w:cstheme="minorBidi"/>
          <w:sz w:val="22"/>
          <w:szCs w:val="22"/>
          <w:lang w:val="hr-HR" w:eastAsia="en-US"/>
        </w:rPr>
      </w:pPr>
      <w:r w:rsidRPr="0097455D">
        <w:rPr>
          <w:rFonts w:asciiTheme="minorHAnsi" w:eastAsiaTheme="minorEastAsia" w:hAnsiTheme="minorHAnsi" w:cstheme="minorBidi"/>
          <w:sz w:val="22"/>
          <w:szCs w:val="22"/>
          <w:lang w:val="hr-HR" w:eastAsia="en-US"/>
        </w:rPr>
        <w:t>Hrvatska Agencija za zaštitu osobnih podataka dužna je osigurati da se propisi o privatnosti provode u  Hrvatskoj.  Za više informacija o svojim pravima na zaštitu privatnosti ili ako neki problem ne možete riješiti izravno s nama i želite podnijeti prigovor, obratite se: Agencija za zaštitu osobnih podataka, Martićeva ulica 14, 10000 Zagreb (</w:t>
      </w:r>
      <w:hyperlink r:id="rId12" w:history="1">
        <w:r w:rsidRPr="0097455D">
          <w:rPr>
            <w:rFonts w:asciiTheme="minorHAnsi" w:eastAsiaTheme="minorEastAsia" w:hAnsiTheme="minorHAnsi" w:cstheme="minorBidi"/>
            <w:sz w:val="22"/>
            <w:szCs w:val="22"/>
            <w:lang w:eastAsia="en-US"/>
          </w:rPr>
          <w:t>azop@azop.hr</w:t>
        </w:r>
      </w:hyperlink>
      <w:r w:rsidRPr="0097455D">
        <w:rPr>
          <w:rFonts w:asciiTheme="minorHAnsi" w:eastAsiaTheme="minorEastAsia" w:hAnsiTheme="minorHAnsi" w:cstheme="minorBidi"/>
          <w:sz w:val="22"/>
          <w:szCs w:val="22"/>
          <w:lang w:val="hr-HR" w:eastAsia="en-US"/>
        </w:rPr>
        <w:t>).</w:t>
      </w:r>
    </w:p>
    <w:p w:rsidR="0097455D" w:rsidRPr="0097455D" w:rsidRDefault="0097455D" w:rsidP="00C0602C">
      <w:pPr>
        <w:pStyle w:val="NormalWeb"/>
        <w:spacing w:before="0" w:beforeAutospacing="0" w:after="200" w:afterAutospacing="0" w:line="276" w:lineRule="auto"/>
        <w:rPr>
          <w:rFonts w:asciiTheme="minorHAnsi" w:eastAsiaTheme="minorEastAsia" w:hAnsiTheme="minorHAnsi" w:cstheme="minorBidi"/>
          <w:sz w:val="22"/>
          <w:szCs w:val="22"/>
          <w:lang w:val="hr-HR" w:eastAsia="en-US"/>
        </w:rPr>
      </w:pPr>
      <w:bookmarkStart w:id="48" w:name="_GoBack"/>
      <w:bookmarkEnd w:id="48"/>
    </w:p>
    <w:sectPr w:rsidR="0097455D" w:rsidRPr="0097455D" w:rsidSect="00317DAB">
      <w:headerReference w:type="default" r:id="rId13"/>
      <w:footerReference w:type="default" r:id="rId14"/>
      <w:pgSz w:w="11900" w:h="16840"/>
      <w:pgMar w:top="1105" w:right="1127" w:bottom="993" w:left="851"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8D" w:rsidRDefault="00362B8D" w:rsidP="008F02B9">
      <w:r>
        <w:separator/>
      </w:r>
    </w:p>
  </w:endnote>
  <w:endnote w:type="continuationSeparator" w:id="0">
    <w:p w:rsidR="00362B8D" w:rsidRDefault="00362B8D" w:rsidP="008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CC" w:rsidRPr="00C0602C" w:rsidRDefault="00E27ACC" w:rsidP="00A76A0C">
    <w:pPr>
      <w:pStyle w:val="Footer"/>
      <w:pBdr>
        <w:top w:val="single" w:sz="4" w:space="1" w:color="auto"/>
      </w:pBdr>
      <w:rPr>
        <w:sz w:val="20"/>
        <w:szCs w:val="20"/>
      </w:rPr>
    </w:pPr>
    <w:r w:rsidRPr="00C0602C">
      <w:rPr>
        <w:sz w:val="20"/>
        <w:szCs w:val="20"/>
      </w:rPr>
      <w:t xml:space="preserve">Page </w:t>
    </w:r>
    <w:r w:rsidRPr="00C0602C">
      <w:rPr>
        <w:sz w:val="20"/>
        <w:szCs w:val="20"/>
      </w:rPr>
      <w:fldChar w:fldCharType="begin"/>
    </w:r>
    <w:r w:rsidRPr="00C0602C">
      <w:rPr>
        <w:sz w:val="20"/>
        <w:szCs w:val="20"/>
      </w:rPr>
      <w:instrText xml:space="preserve"> PAGE   \* MERGEFORMAT </w:instrText>
    </w:r>
    <w:r w:rsidRPr="00C0602C">
      <w:rPr>
        <w:sz w:val="20"/>
        <w:szCs w:val="20"/>
      </w:rPr>
      <w:fldChar w:fldCharType="separate"/>
    </w:r>
    <w:r w:rsidR="00744432">
      <w:rPr>
        <w:noProof/>
        <w:sz w:val="20"/>
        <w:szCs w:val="20"/>
      </w:rPr>
      <w:t>2</w:t>
    </w:r>
    <w:r w:rsidRPr="00C0602C">
      <w:rPr>
        <w:noProof/>
        <w:sz w:val="20"/>
        <w:szCs w:val="20"/>
      </w:rPr>
      <w:fldChar w:fldCharType="end"/>
    </w:r>
    <w:r w:rsidRPr="00C0602C">
      <w:rPr>
        <w:sz w:val="20"/>
        <w:szCs w:val="20"/>
      </w:rPr>
      <w:t xml:space="preserve"> </w:t>
    </w:r>
  </w:p>
  <w:p w:rsidR="00E27ACC" w:rsidRDefault="00E27ACC" w:rsidP="00170718">
    <w:pPr>
      <w:autoSpaceDE w:val="0"/>
      <w:autoSpaceDN w:val="0"/>
      <w:adjustRightInd w:val="0"/>
      <w:jc w:val="center"/>
    </w:pPr>
    <w:r w:rsidRPr="005A58D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8D" w:rsidRDefault="00362B8D" w:rsidP="008F02B9">
      <w:r>
        <w:separator/>
      </w:r>
    </w:p>
  </w:footnote>
  <w:footnote w:type="continuationSeparator" w:id="0">
    <w:p w:rsidR="00362B8D" w:rsidRDefault="00362B8D" w:rsidP="008F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CC" w:rsidRPr="00C0602C" w:rsidRDefault="00E27ACC" w:rsidP="00C359FD">
    <w:pPr>
      <w:pStyle w:val="Header"/>
      <w:pBdr>
        <w:bottom w:val="single" w:sz="4" w:space="1" w:color="auto"/>
      </w:pBdr>
      <w:rPr>
        <w:sz w:val="18"/>
        <w:szCs w:val="18"/>
      </w:rPr>
    </w:pPr>
    <w:r w:rsidRPr="00C0602C">
      <w:rPr>
        <w:noProof/>
        <w:sz w:val="18"/>
        <w:szCs w:val="18"/>
        <w:lang w:val="en-US"/>
      </w:rPr>
      <w:drawing>
        <wp:anchor distT="0" distB="0" distL="114300" distR="114300" simplePos="0" relativeHeight="251659264" behindDoc="1" locked="0" layoutInCell="1" allowOverlap="1" wp14:anchorId="2036317B" wp14:editId="5A150483">
          <wp:simplePos x="0" y="0"/>
          <wp:positionH relativeFrom="column">
            <wp:posOffset>5337810</wp:posOffset>
          </wp:positionH>
          <wp:positionV relativeFrom="paragraph">
            <wp:posOffset>-192405</wp:posOffset>
          </wp:positionV>
          <wp:extent cx="964850" cy="3238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keda.svg.png"/>
                  <pic:cNvPicPr/>
                </pic:nvPicPr>
                <pic:blipFill>
                  <a:blip r:embed="rId1">
                    <a:extLst>
                      <a:ext uri="{28A0092B-C50C-407E-A947-70E740481C1C}">
                        <a14:useLocalDpi xmlns:a14="http://schemas.microsoft.com/office/drawing/2010/main" val="0"/>
                      </a:ext>
                    </a:extLst>
                  </a:blip>
                  <a:stretch>
                    <a:fillRect/>
                  </a:stretch>
                </pic:blipFill>
                <pic:spPr>
                  <a:xfrm>
                    <a:off x="0" y="0"/>
                    <a:ext cx="964850" cy="32385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Takeda Pharmaceuticals Croatia </w:t>
    </w:r>
    <w:proofErr w:type="spellStart"/>
    <w:r>
      <w:rPr>
        <w:sz w:val="18"/>
        <w:szCs w:val="18"/>
      </w:rPr>
      <w:t>d.o.o</w:t>
    </w:r>
    <w:proofErr w:type="spellEnd"/>
    <w:r>
      <w:rPr>
        <w:sz w:val="18"/>
        <w:szCs w:val="18"/>
      </w:rPr>
      <w:t>. –</w:t>
    </w:r>
    <w:r w:rsidRPr="00C0602C">
      <w:rPr>
        <w:sz w:val="18"/>
        <w:szCs w:val="18"/>
      </w:rPr>
      <w:t xml:space="preserve"> </w:t>
    </w:r>
    <w:proofErr w:type="spellStart"/>
    <w:r w:rsidRPr="00C0602C">
      <w:rPr>
        <w:sz w:val="18"/>
        <w:szCs w:val="18"/>
      </w:rPr>
      <w:t>Metodolo</w:t>
    </w:r>
    <w:r>
      <w:rPr>
        <w:sz w:val="18"/>
        <w:szCs w:val="18"/>
      </w:rPr>
      <w:t>ške</w:t>
    </w:r>
    <w:proofErr w:type="spellEnd"/>
    <w:r>
      <w:rPr>
        <w:sz w:val="18"/>
        <w:szCs w:val="18"/>
      </w:rPr>
      <w:t xml:space="preserve"> </w:t>
    </w:r>
    <w:proofErr w:type="spellStart"/>
    <w:r w:rsidRPr="001F528E">
      <w:rPr>
        <w:sz w:val="18"/>
        <w:szCs w:val="18"/>
      </w:rPr>
      <w:t>bilješke</w:t>
    </w:r>
    <w:proofErr w:type="spellEnd"/>
    <w:r w:rsidRPr="001F528E">
      <w:rPr>
        <w:sz w:val="18"/>
        <w:szCs w:val="18"/>
      </w:rPr>
      <w:t xml:space="preserve"> 201</w:t>
    </w:r>
    <w:r w:rsidR="00744432">
      <w:rPr>
        <w:sz w:val="18"/>
        <w:szCs w:val="18"/>
      </w:rPr>
      <w:t>8</w:t>
    </w:r>
    <w:r w:rsidRPr="001F528E">
      <w:rPr>
        <w:sz w:val="18"/>
        <w:szCs w:val="18"/>
      </w:rPr>
      <w:t xml:space="preserve"> (datum </w:t>
    </w:r>
    <w:proofErr w:type="spellStart"/>
    <w:r w:rsidR="001F528E" w:rsidRPr="001F528E">
      <w:rPr>
        <w:sz w:val="18"/>
        <w:szCs w:val="18"/>
      </w:rPr>
      <w:t>pripreme</w:t>
    </w:r>
    <w:proofErr w:type="spellEnd"/>
    <w:r w:rsidRPr="001F528E">
      <w:rPr>
        <w:sz w:val="18"/>
        <w:szCs w:val="18"/>
      </w:rPr>
      <w:t xml:space="preserve"> </w:t>
    </w:r>
    <w:r w:rsidR="00744432">
      <w:rPr>
        <w:sz w:val="18"/>
        <w:szCs w:val="18"/>
      </w:rPr>
      <w:t>11</w:t>
    </w:r>
    <w:r w:rsidR="00412279">
      <w:rPr>
        <w:sz w:val="18"/>
        <w:szCs w:val="18"/>
      </w:rPr>
      <w:t>/0</w:t>
    </w:r>
    <w:r w:rsidR="0097455D">
      <w:rPr>
        <w:sz w:val="18"/>
        <w:szCs w:val="18"/>
      </w:rPr>
      <w:t>6</w:t>
    </w:r>
    <w:r w:rsidR="00412279">
      <w:rPr>
        <w:sz w:val="18"/>
        <w:szCs w:val="18"/>
      </w:rPr>
      <w:t>/201</w:t>
    </w:r>
    <w:r w:rsidR="002476BE">
      <w:rPr>
        <w:sz w:val="18"/>
        <w:szCs w:val="18"/>
      </w:rPr>
      <w:t>8</w:t>
    </w:r>
    <w:r w:rsidRPr="001F528E">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33F6"/>
    <w:multiLevelType w:val="hybridMultilevel"/>
    <w:tmpl w:val="4C303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6A66A0"/>
    <w:multiLevelType w:val="hybridMultilevel"/>
    <w:tmpl w:val="AE4C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244B87"/>
    <w:multiLevelType w:val="multilevel"/>
    <w:tmpl w:val="CB5C1A1C"/>
    <w:lvl w:ilvl="0">
      <w:start w:val="1"/>
      <w:numFmt w:val="decimal"/>
      <w:lvlRestart w:val="0"/>
      <w:lvlText w:val="%1"/>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19"/>
        </w:tabs>
        <w:ind w:left="1219"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5"/>
        </w:tabs>
        <w:ind w:left="935"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89"/>
        </w:tabs>
        <w:ind w:left="1389"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843"/>
        </w:tabs>
        <w:ind w:left="1843"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811"/>
        </w:tabs>
        <w:ind w:left="381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772"/>
        </w:tabs>
        <w:ind w:left="4772" w:hanging="363"/>
      </w:pPr>
      <w:rPr>
        <w:rFonts w:hint="default"/>
      </w:rPr>
    </w:lvl>
    <w:lvl w:ilvl="8">
      <w:start w:val="1"/>
      <w:numFmt w:val="lowerRoman"/>
      <w:lvlText w:val="%9."/>
      <w:lvlJc w:val="left"/>
      <w:pPr>
        <w:tabs>
          <w:tab w:val="num" w:pos="1066"/>
        </w:tabs>
        <w:ind w:left="1066" w:hanging="357"/>
      </w:pPr>
      <w:rPr>
        <w:rFonts w:hint="default"/>
      </w:rPr>
    </w:lvl>
  </w:abstractNum>
  <w:abstractNum w:abstractNumId="4">
    <w:nsid w:val="032D7337"/>
    <w:multiLevelType w:val="hybridMultilevel"/>
    <w:tmpl w:val="FE70C334"/>
    <w:lvl w:ilvl="0" w:tplc="AB824A6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31FD4"/>
    <w:multiLevelType w:val="hybridMultilevel"/>
    <w:tmpl w:val="D5108630"/>
    <w:lvl w:ilvl="0" w:tplc="9BEC44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F084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8C4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4563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985E4C"/>
    <w:multiLevelType w:val="hybridMultilevel"/>
    <w:tmpl w:val="C6B6C13C"/>
    <w:lvl w:ilvl="0" w:tplc="FE3AC2C8">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D85830"/>
    <w:multiLevelType w:val="hybridMultilevel"/>
    <w:tmpl w:val="E96C6640"/>
    <w:lvl w:ilvl="0" w:tplc="1EEEE44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10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CB4695"/>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tentative="1">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13">
    <w:nsid w:val="19CE293B"/>
    <w:multiLevelType w:val="hybridMultilevel"/>
    <w:tmpl w:val="D842DA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F71348"/>
    <w:multiLevelType w:val="hybridMultilevel"/>
    <w:tmpl w:val="BED6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8C30BC"/>
    <w:multiLevelType w:val="multilevel"/>
    <w:tmpl w:val="A97A51FC"/>
    <w:lvl w:ilvl="0">
      <w:start w:val="4"/>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26832F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5B575C"/>
    <w:multiLevelType w:val="hybridMultilevel"/>
    <w:tmpl w:val="7C8EB34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28987AAC"/>
    <w:multiLevelType w:val="hybridMultilevel"/>
    <w:tmpl w:val="F66641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2A1405FD"/>
    <w:multiLevelType w:val="hybridMultilevel"/>
    <w:tmpl w:val="F7E25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F8E283E"/>
    <w:multiLevelType w:val="hybridMultilevel"/>
    <w:tmpl w:val="12583B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00856B5"/>
    <w:multiLevelType w:val="hybridMultilevel"/>
    <w:tmpl w:val="B44C37E8"/>
    <w:lvl w:ilvl="0" w:tplc="8EF4ABB6">
      <w:start w:val="1"/>
      <w:numFmt w:val="lowerLetter"/>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22">
    <w:nsid w:val="30EE5142"/>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670A7E"/>
    <w:multiLevelType w:val="hybridMultilevel"/>
    <w:tmpl w:val="AFA60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034A5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nsid w:val="33434E12"/>
    <w:multiLevelType w:val="hybridMultilevel"/>
    <w:tmpl w:val="65D87A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9513E2"/>
    <w:multiLevelType w:val="hybridMultilevel"/>
    <w:tmpl w:val="BBA06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8374499"/>
    <w:multiLevelType w:val="hybridMultilevel"/>
    <w:tmpl w:val="E1D4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64678A"/>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tentative="1">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29">
    <w:nsid w:val="39664A5A"/>
    <w:multiLevelType w:val="hybridMultilevel"/>
    <w:tmpl w:val="20908556"/>
    <w:lvl w:ilvl="0" w:tplc="0410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495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D440F04"/>
    <w:multiLevelType w:val="hybridMultilevel"/>
    <w:tmpl w:val="5A886DBE"/>
    <w:lvl w:ilvl="0" w:tplc="C71AB42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EB73090"/>
    <w:multiLevelType w:val="hybridMultilevel"/>
    <w:tmpl w:val="AFA60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FA31D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B360D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D492AA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4DC118BA"/>
    <w:multiLevelType w:val="hybridMultilevel"/>
    <w:tmpl w:val="BBA06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F216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8076D1"/>
    <w:multiLevelType w:val="hybridMultilevel"/>
    <w:tmpl w:val="235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CE0F34"/>
    <w:multiLevelType w:val="hybridMultilevel"/>
    <w:tmpl w:val="0EC4D138"/>
    <w:lvl w:ilvl="0" w:tplc="1EEEE44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DB079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1">
    <w:nsid w:val="5C921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060A07"/>
    <w:multiLevelType w:val="multilevel"/>
    <w:tmpl w:val="AD40DBB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DA955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FE21ACD"/>
    <w:multiLevelType w:val="hybridMultilevel"/>
    <w:tmpl w:val="C68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9904F9"/>
    <w:multiLevelType w:val="hybridMultilevel"/>
    <w:tmpl w:val="F6E6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2DC5C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3197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5BE7923"/>
    <w:multiLevelType w:val="hybridMultilevel"/>
    <w:tmpl w:val="AFA60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8EC7FF4"/>
    <w:multiLevelType w:val="hybridMultilevel"/>
    <w:tmpl w:val="19EA7832"/>
    <w:lvl w:ilvl="0" w:tplc="BCA6E142">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F3710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nsid w:val="692B6320"/>
    <w:multiLevelType w:val="hybridMultilevel"/>
    <w:tmpl w:val="16C013E8"/>
    <w:lvl w:ilvl="0" w:tplc="8B5A93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nsid w:val="6BAE34EA"/>
    <w:multiLevelType w:val="multilevel"/>
    <w:tmpl w:val="56C2E11C"/>
    <w:lvl w:ilvl="0">
      <w:start w:val="4"/>
      <w:numFmt w:val="decimal"/>
      <w:lvlText w:val="%1"/>
      <w:lvlJc w:val="left"/>
      <w:pPr>
        <w:ind w:left="450" w:hanging="450"/>
      </w:pPr>
      <w:rPr>
        <w:rFonts w:hint="default"/>
      </w:rPr>
    </w:lvl>
    <w:lvl w:ilvl="1">
      <w:start w:val="2"/>
      <w:numFmt w:val="decimal"/>
      <w:lvlText w:val="%1.%2"/>
      <w:lvlJc w:val="left"/>
      <w:pPr>
        <w:ind w:left="521"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3">
    <w:nsid w:val="6DA22E35"/>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4">
    <w:nsid w:val="6DBA585B"/>
    <w:multiLevelType w:val="hybridMultilevel"/>
    <w:tmpl w:val="B9822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E15771A"/>
    <w:multiLevelType w:val="multilevel"/>
    <w:tmpl w:val="C046EE42"/>
    <w:lvl w:ilvl="0">
      <w:start w:val="2"/>
      <w:numFmt w:val="decimal"/>
      <w:lvlText w:val="%1"/>
      <w:lvlJc w:val="left"/>
      <w:pPr>
        <w:ind w:left="360" w:hanging="360"/>
      </w:pPr>
      <w:rPr>
        <w:rFonts w:hint="default"/>
      </w:rPr>
    </w:lvl>
    <w:lvl w:ilvl="1">
      <w:start w:val="3"/>
      <w:numFmt w:val="decimal"/>
      <w:lvlText w:val="%1.%2"/>
      <w:lvlJc w:val="left"/>
      <w:pPr>
        <w:ind w:left="1294"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5244" w:hanging="180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752" w:hanging="2160"/>
      </w:pPr>
      <w:rPr>
        <w:rFonts w:hint="default"/>
      </w:rPr>
    </w:lvl>
  </w:abstractNum>
  <w:abstractNum w:abstractNumId="56">
    <w:nsid w:val="73C34E8B"/>
    <w:multiLevelType w:val="multilevel"/>
    <w:tmpl w:val="DC902538"/>
    <w:lvl w:ilvl="0">
      <w:start w:val="2"/>
      <w:numFmt w:val="decimal"/>
      <w:lvlText w:val="%1"/>
      <w:lvlJc w:val="left"/>
      <w:pPr>
        <w:ind w:left="525" w:hanging="525"/>
      </w:pPr>
      <w:rPr>
        <w:rFonts w:hint="default"/>
      </w:rPr>
    </w:lvl>
    <w:lvl w:ilvl="1">
      <w:start w:val="3"/>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57">
    <w:nsid w:val="79DC47AE"/>
    <w:multiLevelType w:val="hybridMultilevel"/>
    <w:tmpl w:val="5D34F68E"/>
    <w:lvl w:ilvl="0" w:tplc="BCA6E142">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EB6097"/>
    <w:multiLevelType w:val="multilevel"/>
    <w:tmpl w:val="44D88378"/>
    <w:lvl w:ilvl="0">
      <w:start w:val="4"/>
      <w:numFmt w:val="decimal"/>
      <w:lvlText w:val="%1"/>
      <w:lvlJc w:val="left"/>
      <w:pPr>
        <w:ind w:left="525" w:hanging="525"/>
      </w:pPr>
      <w:rPr>
        <w:rFonts w:hint="default"/>
      </w:rPr>
    </w:lvl>
    <w:lvl w:ilvl="1">
      <w:start w:val="1"/>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59">
    <w:nsid w:val="7D60298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0">
    <w:nsid w:val="7EB83172"/>
    <w:multiLevelType w:val="hybridMultilevel"/>
    <w:tmpl w:val="2182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4"/>
  </w:num>
  <w:num w:numId="3">
    <w:abstractNumId w:val="49"/>
  </w:num>
  <w:num w:numId="4">
    <w:abstractNumId w:val="0"/>
  </w:num>
  <w:num w:numId="5">
    <w:abstractNumId w:val="22"/>
  </w:num>
  <w:num w:numId="6">
    <w:abstractNumId w:val="50"/>
  </w:num>
  <w:num w:numId="7">
    <w:abstractNumId w:val="47"/>
  </w:num>
  <w:num w:numId="8">
    <w:abstractNumId w:val="39"/>
  </w:num>
  <w:num w:numId="9">
    <w:abstractNumId w:val="60"/>
  </w:num>
  <w:num w:numId="10">
    <w:abstractNumId w:val="8"/>
  </w:num>
  <w:num w:numId="11">
    <w:abstractNumId w:val="53"/>
  </w:num>
  <w:num w:numId="12">
    <w:abstractNumId w:val="40"/>
  </w:num>
  <w:num w:numId="13">
    <w:abstractNumId w:val="11"/>
  </w:num>
  <w:num w:numId="14">
    <w:abstractNumId w:val="46"/>
  </w:num>
  <w:num w:numId="15">
    <w:abstractNumId w:val="35"/>
  </w:num>
  <w:num w:numId="16">
    <w:abstractNumId w:val="24"/>
  </w:num>
  <w:num w:numId="17">
    <w:abstractNumId w:val="30"/>
  </w:num>
  <w:num w:numId="18">
    <w:abstractNumId w:val="37"/>
  </w:num>
  <w:num w:numId="19">
    <w:abstractNumId w:val="43"/>
  </w:num>
  <w:num w:numId="20">
    <w:abstractNumId w:val="41"/>
  </w:num>
  <w:num w:numId="21">
    <w:abstractNumId w:val="7"/>
  </w:num>
  <w:num w:numId="22">
    <w:abstractNumId w:val="27"/>
  </w:num>
  <w:num w:numId="23">
    <w:abstractNumId w:val="38"/>
  </w:num>
  <w:num w:numId="24">
    <w:abstractNumId w:val="3"/>
  </w:num>
  <w:num w:numId="25">
    <w:abstractNumId w:val="4"/>
  </w:num>
  <w:num w:numId="26">
    <w:abstractNumId w:val="10"/>
  </w:num>
  <w:num w:numId="27">
    <w:abstractNumId w:val="5"/>
  </w:num>
  <w:num w:numId="28">
    <w:abstractNumId w:val="59"/>
  </w:num>
  <w:num w:numId="29">
    <w:abstractNumId w:val="16"/>
  </w:num>
  <w:num w:numId="30">
    <w:abstractNumId w:val="31"/>
  </w:num>
  <w:num w:numId="31">
    <w:abstractNumId w:val="33"/>
  </w:num>
  <w:num w:numId="32">
    <w:abstractNumId w:val="45"/>
  </w:num>
  <w:num w:numId="33">
    <w:abstractNumId w:val="14"/>
  </w:num>
  <w:num w:numId="34">
    <w:abstractNumId w:val="34"/>
  </w:num>
  <w:num w:numId="35">
    <w:abstractNumId w:val="20"/>
  </w:num>
  <w:num w:numId="36">
    <w:abstractNumId w:val="17"/>
  </w:num>
  <w:num w:numId="37">
    <w:abstractNumId w:val="18"/>
  </w:num>
  <w:num w:numId="38">
    <w:abstractNumId w:val="19"/>
  </w:num>
  <w:num w:numId="39">
    <w:abstractNumId w:val="1"/>
  </w:num>
  <w:num w:numId="40">
    <w:abstractNumId w:val="12"/>
  </w:num>
  <w:num w:numId="41">
    <w:abstractNumId w:val="51"/>
  </w:num>
  <w:num w:numId="42">
    <w:abstractNumId w:val="28"/>
  </w:num>
  <w:num w:numId="43">
    <w:abstractNumId w:val="6"/>
  </w:num>
  <w:num w:numId="44">
    <w:abstractNumId w:val="15"/>
  </w:num>
  <w:num w:numId="45">
    <w:abstractNumId w:val="56"/>
  </w:num>
  <w:num w:numId="46">
    <w:abstractNumId w:val="29"/>
  </w:num>
  <w:num w:numId="47">
    <w:abstractNumId w:val="9"/>
  </w:num>
  <w:num w:numId="48">
    <w:abstractNumId w:val="52"/>
  </w:num>
  <w:num w:numId="49">
    <w:abstractNumId w:val="55"/>
  </w:num>
  <w:num w:numId="50">
    <w:abstractNumId w:val="42"/>
  </w:num>
  <w:num w:numId="51">
    <w:abstractNumId w:val="54"/>
  </w:num>
  <w:num w:numId="52">
    <w:abstractNumId w:val="21"/>
  </w:num>
  <w:num w:numId="53">
    <w:abstractNumId w:val="25"/>
  </w:num>
  <w:num w:numId="54">
    <w:abstractNumId w:val="48"/>
  </w:num>
  <w:num w:numId="55">
    <w:abstractNumId w:val="36"/>
  </w:num>
  <w:num w:numId="56">
    <w:abstractNumId w:val="26"/>
  </w:num>
  <w:num w:numId="57">
    <w:abstractNumId w:val="13"/>
  </w:num>
  <w:num w:numId="58">
    <w:abstractNumId w:val="58"/>
  </w:num>
  <w:num w:numId="59">
    <w:abstractNumId w:val="2"/>
  </w:num>
  <w:num w:numId="60">
    <w:abstractNumId w:val="23"/>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A"/>
    <w:rsid w:val="000014C6"/>
    <w:rsid w:val="00011C0D"/>
    <w:rsid w:val="00022E03"/>
    <w:rsid w:val="0004456F"/>
    <w:rsid w:val="00044C3D"/>
    <w:rsid w:val="00045740"/>
    <w:rsid w:val="00045C10"/>
    <w:rsid w:val="00051FED"/>
    <w:rsid w:val="00067B68"/>
    <w:rsid w:val="0007080E"/>
    <w:rsid w:val="00076542"/>
    <w:rsid w:val="00077F62"/>
    <w:rsid w:val="000A36D9"/>
    <w:rsid w:val="000C3D81"/>
    <w:rsid w:val="000C50B0"/>
    <w:rsid w:val="000C7E72"/>
    <w:rsid w:val="000E3209"/>
    <w:rsid w:val="00102CDE"/>
    <w:rsid w:val="00105143"/>
    <w:rsid w:val="00110576"/>
    <w:rsid w:val="00110A48"/>
    <w:rsid w:val="0011285E"/>
    <w:rsid w:val="00124483"/>
    <w:rsid w:val="00132A8C"/>
    <w:rsid w:val="00136E84"/>
    <w:rsid w:val="001370AE"/>
    <w:rsid w:val="001438EF"/>
    <w:rsid w:val="00150E37"/>
    <w:rsid w:val="001522C0"/>
    <w:rsid w:val="00152DA5"/>
    <w:rsid w:val="0016395C"/>
    <w:rsid w:val="00170718"/>
    <w:rsid w:val="0017796B"/>
    <w:rsid w:val="00186F65"/>
    <w:rsid w:val="00191A74"/>
    <w:rsid w:val="00191AE3"/>
    <w:rsid w:val="00191E44"/>
    <w:rsid w:val="00193242"/>
    <w:rsid w:val="001A26C8"/>
    <w:rsid w:val="001A7789"/>
    <w:rsid w:val="001C61D4"/>
    <w:rsid w:val="001D3061"/>
    <w:rsid w:val="001D5083"/>
    <w:rsid w:val="001E1973"/>
    <w:rsid w:val="001F528E"/>
    <w:rsid w:val="001F7139"/>
    <w:rsid w:val="002007B5"/>
    <w:rsid w:val="00206144"/>
    <w:rsid w:val="002067D7"/>
    <w:rsid w:val="002074DC"/>
    <w:rsid w:val="002218A3"/>
    <w:rsid w:val="00222C72"/>
    <w:rsid w:val="00222F25"/>
    <w:rsid w:val="00235B57"/>
    <w:rsid w:val="00236F86"/>
    <w:rsid w:val="00244BDA"/>
    <w:rsid w:val="002476BE"/>
    <w:rsid w:val="002537AA"/>
    <w:rsid w:val="00256367"/>
    <w:rsid w:val="0025752E"/>
    <w:rsid w:val="002701EE"/>
    <w:rsid w:val="00270E79"/>
    <w:rsid w:val="00272131"/>
    <w:rsid w:val="00274F9B"/>
    <w:rsid w:val="00286C07"/>
    <w:rsid w:val="002A2581"/>
    <w:rsid w:val="002A2E9F"/>
    <w:rsid w:val="002B57FC"/>
    <w:rsid w:val="002C2884"/>
    <w:rsid w:val="002C5316"/>
    <w:rsid w:val="002D764A"/>
    <w:rsid w:val="002E1229"/>
    <w:rsid w:val="002E22B3"/>
    <w:rsid w:val="002F5A5A"/>
    <w:rsid w:val="00315595"/>
    <w:rsid w:val="00317DAB"/>
    <w:rsid w:val="0032249E"/>
    <w:rsid w:val="0035220F"/>
    <w:rsid w:val="00352793"/>
    <w:rsid w:val="0035332F"/>
    <w:rsid w:val="00356043"/>
    <w:rsid w:val="00356A97"/>
    <w:rsid w:val="00357B3E"/>
    <w:rsid w:val="00362B8D"/>
    <w:rsid w:val="00362C42"/>
    <w:rsid w:val="00362E37"/>
    <w:rsid w:val="003645D2"/>
    <w:rsid w:val="00372541"/>
    <w:rsid w:val="00380D8E"/>
    <w:rsid w:val="0039066A"/>
    <w:rsid w:val="003A030E"/>
    <w:rsid w:val="003A1B96"/>
    <w:rsid w:val="003A5B28"/>
    <w:rsid w:val="003E0139"/>
    <w:rsid w:val="003E0308"/>
    <w:rsid w:val="00402050"/>
    <w:rsid w:val="00412279"/>
    <w:rsid w:val="00416834"/>
    <w:rsid w:val="00426977"/>
    <w:rsid w:val="00433E28"/>
    <w:rsid w:val="0044238E"/>
    <w:rsid w:val="004445F0"/>
    <w:rsid w:val="004525A3"/>
    <w:rsid w:val="0045545E"/>
    <w:rsid w:val="00471219"/>
    <w:rsid w:val="00477289"/>
    <w:rsid w:val="00485E73"/>
    <w:rsid w:val="00495605"/>
    <w:rsid w:val="00497FB9"/>
    <w:rsid w:val="004D0F2C"/>
    <w:rsid w:val="004D6E9F"/>
    <w:rsid w:val="004E083B"/>
    <w:rsid w:val="004E6896"/>
    <w:rsid w:val="004F2B77"/>
    <w:rsid w:val="0050455F"/>
    <w:rsid w:val="005056F8"/>
    <w:rsid w:val="00512FFF"/>
    <w:rsid w:val="00522D7E"/>
    <w:rsid w:val="005367F5"/>
    <w:rsid w:val="00536C4F"/>
    <w:rsid w:val="00545024"/>
    <w:rsid w:val="005503F7"/>
    <w:rsid w:val="00565DB9"/>
    <w:rsid w:val="0057079C"/>
    <w:rsid w:val="005743E0"/>
    <w:rsid w:val="00576E35"/>
    <w:rsid w:val="005830E6"/>
    <w:rsid w:val="005869D5"/>
    <w:rsid w:val="005A07F0"/>
    <w:rsid w:val="005B20CB"/>
    <w:rsid w:val="005B7D49"/>
    <w:rsid w:val="005C2351"/>
    <w:rsid w:val="005E249B"/>
    <w:rsid w:val="005E3BAC"/>
    <w:rsid w:val="005F0987"/>
    <w:rsid w:val="00602401"/>
    <w:rsid w:val="006045CD"/>
    <w:rsid w:val="00604832"/>
    <w:rsid w:val="00605BEB"/>
    <w:rsid w:val="00615131"/>
    <w:rsid w:val="006331E2"/>
    <w:rsid w:val="00637B97"/>
    <w:rsid w:val="00656502"/>
    <w:rsid w:val="00662140"/>
    <w:rsid w:val="006813F4"/>
    <w:rsid w:val="0068506C"/>
    <w:rsid w:val="00695084"/>
    <w:rsid w:val="006A0DAC"/>
    <w:rsid w:val="006A15A2"/>
    <w:rsid w:val="006A2EFC"/>
    <w:rsid w:val="006A678A"/>
    <w:rsid w:val="006A6A9E"/>
    <w:rsid w:val="006B12CB"/>
    <w:rsid w:val="006B2168"/>
    <w:rsid w:val="006B6231"/>
    <w:rsid w:val="006C45F9"/>
    <w:rsid w:val="006C5241"/>
    <w:rsid w:val="006C5696"/>
    <w:rsid w:val="006C67AB"/>
    <w:rsid w:val="006C6DF3"/>
    <w:rsid w:val="006D198A"/>
    <w:rsid w:val="006D2A53"/>
    <w:rsid w:val="006D3E5B"/>
    <w:rsid w:val="006E5F3F"/>
    <w:rsid w:val="00704A58"/>
    <w:rsid w:val="00705B37"/>
    <w:rsid w:val="007117E8"/>
    <w:rsid w:val="00713A9B"/>
    <w:rsid w:val="007200A1"/>
    <w:rsid w:val="00724A0F"/>
    <w:rsid w:val="0074362E"/>
    <w:rsid w:val="00744432"/>
    <w:rsid w:val="00747FD4"/>
    <w:rsid w:val="00764606"/>
    <w:rsid w:val="00764886"/>
    <w:rsid w:val="00772325"/>
    <w:rsid w:val="007726E0"/>
    <w:rsid w:val="0079141F"/>
    <w:rsid w:val="007A29F1"/>
    <w:rsid w:val="007A2B36"/>
    <w:rsid w:val="007B6099"/>
    <w:rsid w:val="007D2069"/>
    <w:rsid w:val="007E3D25"/>
    <w:rsid w:val="007E512B"/>
    <w:rsid w:val="007E68D4"/>
    <w:rsid w:val="007F3C26"/>
    <w:rsid w:val="007F6042"/>
    <w:rsid w:val="008221E3"/>
    <w:rsid w:val="008233EA"/>
    <w:rsid w:val="008256F5"/>
    <w:rsid w:val="0082656D"/>
    <w:rsid w:val="00830FE5"/>
    <w:rsid w:val="008363CD"/>
    <w:rsid w:val="00855CA9"/>
    <w:rsid w:val="00855F18"/>
    <w:rsid w:val="00861066"/>
    <w:rsid w:val="00880F51"/>
    <w:rsid w:val="00887500"/>
    <w:rsid w:val="008A4246"/>
    <w:rsid w:val="008A5507"/>
    <w:rsid w:val="008B583C"/>
    <w:rsid w:val="008D2914"/>
    <w:rsid w:val="008D7F9E"/>
    <w:rsid w:val="008F02B9"/>
    <w:rsid w:val="00910DA1"/>
    <w:rsid w:val="009145D6"/>
    <w:rsid w:val="00914877"/>
    <w:rsid w:val="00924B7C"/>
    <w:rsid w:val="009268CE"/>
    <w:rsid w:val="00931C83"/>
    <w:rsid w:val="009445A9"/>
    <w:rsid w:val="00950360"/>
    <w:rsid w:val="00973CF0"/>
    <w:rsid w:val="0097455D"/>
    <w:rsid w:val="00994A76"/>
    <w:rsid w:val="009A1DF5"/>
    <w:rsid w:val="009A7A14"/>
    <w:rsid w:val="009B0987"/>
    <w:rsid w:val="009B196E"/>
    <w:rsid w:val="009E4716"/>
    <w:rsid w:val="009E6CC9"/>
    <w:rsid w:val="009E71F8"/>
    <w:rsid w:val="009F09B6"/>
    <w:rsid w:val="00A0429E"/>
    <w:rsid w:val="00A25568"/>
    <w:rsid w:val="00A37E5C"/>
    <w:rsid w:val="00A40C87"/>
    <w:rsid w:val="00A554CE"/>
    <w:rsid w:val="00A56E9C"/>
    <w:rsid w:val="00A6016F"/>
    <w:rsid w:val="00A668AA"/>
    <w:rsid w:val="00A7315D"/>
    <w:rsid w:val="00A76A0C"/>
    <w:rsid w:val="00A7749E"/>
    <w:rsid w:val="00AA2C51"/>
    <w:rsid w:val="00AA508A"/>
    <w:rsid w:val="00AA5DF3"/>
    <w:rsid w:val="00AB20C0"/>
    <w:rsid w:val="00AC4A02"/>
    <w:rsid w:val="00AD45DA"/>
    <w:rsid w:val="00AE652C"/>
    <w:rsid w:val="00B134EC"/>
    <w:rsid w:val="00B14943"/>
    <w:rsid w:val="00B23528"/>
    <w:rsid w:val="00B41E2E"/>
    <w:rsid w:val="00B4277F"/>
    <w:rsid w:val="00B43AD1"/>
    <w:rsid w:val="00B53254"/>
    <w:rsid w:val="00B62C94"/>
    <w:rsid w:val="00B70C30"/>
    <w:rsid w:val="00B76D05"/>
    <w:rsid w:val="00B81A9D"/>
    <w:rsid w:val="00B84557"/>
    <w:rsid w:val="00B86239"/>
    <w:rsid w:val="00B87B34"/>
    <w:rsid w:val="00B92BAC"/>
    <w:rsid w:val="00B97CC9"/>
    <w:rsid w:val="00BA2EEE"/>
    <w:rsid w:val="00BA6C33"/>
    <w:rsid w:val="00BB7514"/>
    <w:rsid w:val="00BC3190"/>
    <w:rsid w:val="00BE0846"/>
    <w:rsid w:val="00BF709E"/>
    <w:rsid w:val="00C01304"/>
    <w:rsid w:val="00C0602C"/>
    <w:rsid w:val="00C06F6B"/>
    <w:rsid w:val="00C250A7"/>
    <w:rsid w:val="00C26BA8"/>
    <w:rsid w:val="00C27A47"/>
    <w:rsid w:val="00C359FD"/>
    <w:rsid w:val="00C40B38"/>
    <w:rsid w:val="00C45A11"/>
    <w:rsid w:val="00C45E97"/>
    <w:rsid w:val="00C47F7B"/>
    <w:rsid w:val="00C508C7"/>
    <w:rsid w:val="00C51EA0"/>
    <w:rsid w:val="00C673E4"/>
    <w:rsid w:val="00C756E0"/>
    <w:rsid w:val="00C80EB9"/>
    <w:rsid w:val="00C81510"/>
    <w:rsid w:val="00C83EF0"/>
    <w:rsid w:val="00C965A0"/>
    <w:rsid w:val="00CA490E"/>
    <w:rsid w:val="00CB0BA3"/>
    <w:rsid w:val="00CD31A2"/>
    <w:rsid w:val="00CF238F"/>
    <w:rsid w:val="00D0597A"/>
    <w:rsid w:val="00D075D3"/>
    <w:rsid w:val="00D420A5"/>
    <w:rsid w:val="00D50C9A"/>
    <w:rsid w:val="00D51F4A"/>
    <w:rsid w:val="00D637C4"/>
    <w:rsid w:val="00D638DB"/>
    <w:rsid w:val="00D63B09"/>
    <w:rsid w:val="00D87052"/>
    <w:rsid w:val="00DB3274"/>
    <w:rsid w:val="00DC29E4"/>
    <w:rsid w:val="00DC7027"/>
    <w:rsid w:val="00DD5ACA"/>
    <w:rsid w:val="00DE55CC"/>
    <w:rsid w:val="00E26FBA"/>
    <w:rsid w:val="00E27ACC"/>
    <w:rsid w:val="00E33027"/>
    <w:rsid w:val="00E4063F"/>
    <w:rsid w:val="00E77053"/>
    <w:rsid w:val="00E8482B"/>
    <w:rsid w:val="00E87E43"/>
    <w:rsid w:val="00E95FA8"/>
    <w:rsid w:val="00E963FA"/>
    <w:rsid w:val="00EA6765"/>
    <w:rsid w:val="00EA7EFF"/>
    <w:rsid w:val="00EC4ABB"/>
    <w:rsid w:val="00ED04B3"/>
    <w:rsid w:val="00EE1591"/>
    <w:rsid w:val="00F01BA0"/>
    <w:rsid w:val="00F15830"/>
    <w:rsid w:val="00F237FA"/>
    <w:rsid w:val="00F24A50"/>
    <w:rsid w:val="00F25C53"/>
    <w:rsid w:val="00F3001C"/>
    <w:rsid w:val="00F37AEC"/>
    <w:rsid w:val="00F40DC6"/>
    <w:rsid w:val="00F43331"/>
    <w:rsid w:val="00F4333C"/>
    <w:rsid w:val="00F75A36"/>
    <w:rsid w:val="00F852E8"/>
    <w:rsid w:val="00F86C89"/>
    <w:rsid w:val="00F87809"/>
    <w:rsid w:val="00F952C0"/>
    <w:rsid w:val="00F97B84"/>
    <w:rsid w:val="00FB2BD9"/>
    <w:rsid w:val="00FC2BAC"/>
    <w:rsid w:val="00FF66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8"/>
    <w:rPr>
      <w:lang w:val="en-GB"/>
    </w:rPr>
  </w:style>
  <w:style w:type="paragraph" w:styleId="Heading1">
    <w:name w:val="heading 1"/>
    <w:aliases w:val="Heading1_Titre1"/>
    <w:basedOn w:val="Normal"/>
    <w:next w:val="Normal"/>
    <w:link w:val="Heading1Char"/>
    <w:qFormat/>
    <w:rsid w:val="0006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2_Titre2"/>
    <w:basedOn w:val="Normal"/>
    <w:next w:val="Normal"/>
    <w:link w:val="Heading2Char"/>
    <w:unhideWhenUsed/>
    <w:qFormat/>
    <w:rsid w:val="00067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3_Titre3"/>
    <w:basedOn w:val="Normal"/>
    <w:next w:val="Normal"/>
    <w:link w:val="Heading3Char"/>
    <w:unhideWhenUsed/>
    <w:qFormat/>
    <w:rsid w:val="00067B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4_Titre4"/>
    <w:basedOn w:val="Normal"/>
    <w:next w:val="Normal"/>
    <w:link w:val="Heading4Char"/>
    <w:unhideWhenUsed/>
    <w:qFormat/>
    <w:rsid w:val="00067B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7B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7B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7B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B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B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067B68"/>
    <w:pPr>
      <w:ind w:left="720"/>
      <w:contextualSpacing/>
    </w:pPr>
  </w:style>
  <w:style w:type="character" w:customStyle="1" w:styleId="Heading1Char">
    <w:name w:val="Heading 1 Char"/>
    <w:aliases w:val="Heading1_Titre1 Char"/>
    <w:basedOn w:val="DefaultParagraphFont"/>
    <w:link w:val="Heading1"/>
    <w:uiPriority w:val="9"/>
    <w:rsid w:val="00067B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2_Titre2 Char"/>
    <w:basedOn w:val="DefaultParagraphFont"/>
    <w:link w:val="Heading2"/>
    <w:uiPriority w:val="9"/>
    <w:rsid w:val="00067B68"/>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C51EA0"/>
    <w:pPr>
      <w:ind w:left="240" w:hanging="240"/>
    </w:pPr>
    <w:rPr>
      <w:sz w:val="18"/>
      <w:szCs w:val="18"/>
    </w:rPr>
  </w:style>
  <w:style w:type="paragraph" w:styleId="Index2">
    <w:name w:val="index 2"/>
    <w:basedOn w:val="Normal"/>
    <w:next w:val="Normal"/>
    <w:autoRedefine/>
    <w:uiPriority w:val="99"/>
    <w:unhideWhenUsed/>
    <w:rsid w:val="00C51EA0"/>
    <w:pPr>
      <w:ind w:left="480" w:hanging="240"/>
    </w:pPr>
    <w:rPr>
      <w:sz w:val="18"/>
      <w:szCs w:val="18"/>
    </w:rPr>
  </w:style>
  <w:style w:type="paragraph" w:styleId="Index3">
    <w:name w:val="index 3"/>
    <w:basedOn w:val="Normal"/>
    <w:next w:val="Normal"/>
    <w:autoRedefine/>
    <w:uiPriority w:val="99"/>
    <w:unhideWhenUsed/>
    <w:rsid w:val="00C51EA0"/>
    <w:pPr>
      <w:ind w:left="720" w:hanging="240"/>
    </w:pPr>
    <w:rPr>
      <w:sz w:val="18"/>
      <w:szCs w:val="18"/>
    </w:rPr>
  </w:style>
  <w:style w:type="paragraph" w:styleId="Index4">
    <w:name w:val="index 4"/>
    <w:basedOn w:val="Normal"/>
    <w:next w:val="Normal"/>
    <w:autoRedefine/>
    <w:uiPriority w:val="99"/>
    <w:unhideWhenUsed/>
    <w:rsid w:val="00C51EA0"/>
    <w:pPr>
      <w:ind w:left="960" w:hanging="240"/>
    </w:pPr>
    <w:rPr>
      <w:sz w:val="18"/>
      <w:szCs w:val="18"/>
    </w:rPr>
  </w:style>
  <w:style w:type="paragraph" w:styleId="Index5">
    <w:name w:val="index 5"/>
    <w:basedOn w:val="Normal"/>
    <w:next w:val="Normal"/>
    <w:autoRedefine/>
    <w:uiPriority w:val="99"/>
    <w:unhideWhenUsed/>
    <w:rsid w:val="00C51EA0"/>
    <w:pPr>
      <w:ind w:left="1200" w:hanging="240"/>
    </w:pPr>
    <w:rPr>
      <w:sz w:val="18"/>
      <w:szCs w:val="18"/>
    </w:rPr>
  </w:style>
  <w:style w:type="paragraph" w:styleId="Index6">
    <w:name w:val="index 6"/>
    <w:basedOn w:val="Normal"/>
    <w:next w:val="Normal"/>
    <w:autoRedefine/>
    <w:uiPriority w:val="99"/>
    <w:unhideWhenUsed/>
    <w:rsid w:val="00C51EA0"/>
    <w:pPr>
      <w:ind w:left="1440" w:hanging="240"/>
    </w:pPr>
    <w:rPr>
      <w:sz w:val="18"/>
      <w:szCs w:val="18"/>
    </w:rPr>
  </w:style>
  <w:style w:type="paragraph" w:styleId="Index7">
    <w:name w:val="index 7"/>
    <w:basedOn w:val="Normal"/>
    <w:next w:val="Normal"/>
    <w:autoRedefine/>
    <w:uiPriority w:val="99"/>
    <w:unhideWhenUsed/>
    <w:rsid w:val="00C51EA0"/>
    <w:pPr>
      <w:ind w:left="1680" w:hanging="240"/>
    </w:pPr>
    <w:rPr>
      <w:sz w:val="18"/>
      <w:szCs w:val="18"/>
    </w:rPr>
  </w:style>
  <w:style w:type="paragraph" w:styleId="Index8">
    <w:name w:val="index 8"/>
    <w:basedOn w:val="Normal"/>
    <w:next w:val="Normal"/>
    <w:autoRedefine/>
    <w:uiPriority w:val="99"/>
    <w:unhideWhenUsed/>
    <w:rsid w:val="00C51EA0"/>
    <w:pPr>
      <w:ind w:left="1920" w:hanging="240"/>
    </w:pPr>
    <w:rPr>
      <w:sz w:val="18"/>
      <w:szCs w:val="18"/>
    </w:rPr>
  </w:style>
  <w:style w:type="paragraph" w:styleId="Index9">
    <w:name w:val="index 9"/>
    <w:basedOn w:val="Normal"/>
    <w:next w:val="Normal"/>
    <w:autoRedefine/>
    <w:uiPriority w:val="99"/>
    <w:unhideWhenUsed/>
    <w:rsid w:val="00C51EA0"/>
    <w:pPr>
      <w:ind w:left="2160" w:hanging="240"/>
    </w:pPr>
    <w:rPr>
      <w:sz w:val="18"/>
      <w:szCs w:val="18"/>
    </w:rPr>
  </w:style>
  <w:style w:type="paragraph" w:styleId="IndexHeading">
    <w:name w:val="index heading"/>
    <w:basedOn w:val="Normal"/>
    <w:next w:val="Index1"/>
    <w:uiPriority w:val="99"/>
    <w:unhideWhenUsed/>
    <w:rsid w:val="00C51EA0"/>
    <w:pPr>
      <w:spacing w:before="240" w:after="120"/>
      <w:jc w:val="center"/>
    </w:pPr>
    <w:rPr>
      <w:b/>
      <w:sz w:val="26"/>
      <w:szCs w:val="26"/>
    </w:rPr>
  </w:style>
  <w:style w:type="paragraph" w:styleId="TOC1">
    <w:name w:val="toc 1"/>
    <w:basedOn w:val="Normal"/>
    <w:next w:val="Normal"/>
    <w:autoRedefine/>
    <w:uiPriority w:val="39"/>
    <w:unhideWhenUsed/>
    <w:rsid w:val="0068506C"/>
    <w:pPr>
      <w:tabs>
        <w:tab w:val="left" w:pos="426"/>
        <w:tab w:val="right" w:leader="dot" w:pos="8290"/>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2E22B3"/>
    <w:pPr>
      <w:tabs>
        <w:tab w:val="left" w:pos="574"/>
        <w:tab w:val="right" w:leader="dot" w:pos="8364"/>
      </w:tabs>
      <w:spacing w:after="0" w:line="360" w:lineRule="auto"/>
    </w:pPr>
  </w:style>
  <w:style w:type="paragraph" w:styleId="TOC3">
    <w:name w:val="toc 3"/>
    <w:basedOn w:val="Normal"/>
    <w:next w:val="Normal"/>
    <w:autoRedefine/>
    <w:uiPriority w:val="39"/>
    <w:unhideWhenUsed/>
    <w:rsid w:val="002E22B3"/>
    <w:pPr>
      <w:tabs>
        <w:tab w:val="left" w:pos="1100"/>
        <w:tab w:val="right" w:leader="dot" w:pos="8364"/>
      </w:tabs>
      <w:spacing w:after="0"/>
      <w:ind w:left="220"/>
    </w:pPr>
    <w:rPr>
      <w:i/>
    </w:rPr>
  </w:style>
  <w:style w:type="paragraph" w:styleId="TOC4">
    <w:name w:val="toc 4"/>
    <w:basedOn w:val="Normal"/>
    <w:next w:val="Normal"/>
    <w:autoRedefine/>
    <w:uiPriority w:val="39"/>
    <w:unhideWhenUsed/>
    <w:rsid w:val="00C51EA0"/>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51EA0"/>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51EA0"/>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51EA0"/>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51EA0"/>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51EA0"/>
    <w:pPr>
      <w:pBdr>
        <w:between w:val="double" w:sz="6" w:space="0" w:color="auto"/>
      </w:pBdr>
      <w:spacing w:after="0"/>
      <w:ind w:left="1540"/>
    </w:pPr>
    <w:rPr>
      <w:sz w:val="20"/>
      <w:szCs w:val="20"/>
    </w:rPr>
  </w:style>
  <w:style w:type="paragraph" w:styleId="Header">
    <w:name w:val="header"/>
    <w:basedOn w:val="Normal"/>
    <w:link w:val="HeaderChar"/>
    <w:uiPriority w:val="99"/>
    <w:unhideWhenUsed/>
    <w:rsid w:val="008F02B9"/>
    <w:pPr>
      <w:tabs>
        <w:tab w:val="center" w:pos="4153"/>
        <w:tab w:val="right" w:pos="8306"/>
      </w:tabs>
    </w:pPr>
  </w:style>
  <w:style w:type="character" w:customStyle="1" w:styleId="HeaderChar">
    <w:name w:val="Header Char"/>
    <w:basedOn w:val="DefaultParagraphFont"/>
    <w:link w:val="Header"/>
    <w:uiPriority w:val="99"/>
    <w:rsid w:val="008F02B9"/>
    <w:rPr>
      <w:lang w:val="en-US"/>
    </w:rPr>
  </w:style>
  <w:style w:type="paragraph" w:styleId="Footer">
    <w:name w:val="footer"/>
    <w:basedOn w:val="Normal"/>
    <w:link w:val="FooterChar"/>
    <w:uiPriority w:val="99"/>
    <w:unhideWhenUsed/>
    <w:rsid w:val="008F02B9"/>
    <w:pPr>
      <w:tabs>
        <w:tab w:val="center" w:pos="4153"/>
        <w:tab w:val="right" w:pos="8306"/>
      </w:tabs>
    </w:pPr>
  </w:style>
  <w:style w:type="character" w:customStyle="1" w:styleId="FooterChar">
    <w:name w:val="Footer Char"/>
    <w:basedOn w:val="DefaultParagraphFont"/>
    <w:link w:val="Footer"/>
    <w:uiPriority w:val="99"/>
    <w:rsid w:val="008F02B9"/>
    <w:rPr>
      <w:lang w:val="en-US"/>
    </w:rPr>
  </w:style>
  <w:style w:type="character" w:customStyle="1" w:styleId="Heading3Char">
    <w:name w:val="Heading 3 Char"/>
    <w:aliases w:val="Heading3_Titre3 Char"/>
    <w:basedOn w:val="DefaultParagraphFont"/>
    <w:link w:val="Heading3"/>
    <w:uiPriority w:val="9"/>
    <w:rsid w:val="00067B68"/>
    <w:rPr>
      <w:rFonts w:asciiTheme="majorHAnsi" w:eastAsiaTheme="majorEastAsia" w:hAnsiTheme="majorHAnsi" w:cstheme="majorBidi"/>
      <w:b/>
      <w:bCs/>
      <w:color w:val="4F81BD" w:themeColor="accent1"/>
    </w:rPr>
  </w:style>
  <w:style w:type="character" w:customStyle="1" w:styleId="Heading4Char">
    <w:name w:val="Heading 4 Char"/>
    <w:aliases w:val="Heading4_Titre4 Char"/>
    <w:basedOn w:val="DefaultParagraphFont"/>
    <w:link w:val="Heading4"/>
    <w:uiPriority w:val="9"/>
    <w:rsid w:val="00067B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7B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7B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7B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B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B6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67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B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7B68"/>
    <w:rPr>
      <w:b/>
      <w:bCs/>
    </w:rPr>
  </w:style>
  <w:style w:type="character" w:styleId="Emphasis">
    <w:name w:val="Emphasis"/>
    <w:basedOn w:val="DefaultParagraphFont"/>
    <w:uiPriority w:val="20"/>
    <w:qFormat/>
    <w:rsid w:val="00067B68"/>
    <w:rPr>
      <w:i/>
      <w:iCs/>
    </w:rPr>
  </w:style>
  <w:style w:type="paragraph" w:styleId="NoSpacing">
    <w:name w:val="No Spacing"/>
    <w:link w:val="NoSpacingChar"/>
    <w:uiPriority w:val="1"/>
    <w:qFormat/>
    <w:rsid w:val="00067B68"/>
    <w:pPr>
      <w:spacing w:after="0" w:line="240" w:lineRule="auto"/>
    </w:pPr>
  </w:style>
  <w:style w:type="paragraph" w:styleId="Quote">
    <w:name w:val="Quote"/>
    <w:basedOn w:val="Normal"/>
    <w:next w:val="Normal"/>
    <w:link w:val="QuoteChar"/>
    <w:uiPriority w:val="29"/>
    <w:qFormat/>
    <w:rsid w:val="00067B68"/>
    <w:rPr>
      <w:i/>
      <w:iCs/>
      <w:color w:val="000000" w:themeColor="text1"/>
    </w:rPr>
  </w:style>
  <w:style w:type="character" w:customStyle="1" w:styleId="QuoteChar">
    <w:name w:val="Quote Char"/>
    <w:basedOn w:val="DefaultParagraphFont"/>
    <w:link w:val="Quote"/>
    <w:uiPriority w:val="29"/>
    <w:rsid w:val="00067B68"/>
    <w:rPr>
      <w:i/>
      <w:iCs/>
      <w:color w:val="000000" w:themeColor="text1"/>
    </w:rPr>
  </w:style>
  <w:style w:type="paragraph" w:styleId="IntenseQuote">
    <w:name w:val="Intense Quote"/>
    <w:basedOn w:val="Normal"/>
    <w:next w:val="Normal"/>
    <w:link w:val="IntenseQuoteChar"/>
    <w:uiPriority w:val="30"/>
    <w:qFormat/>
    <w:rsid w:val="00067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7B68"/>
    <w:rPr>
      <w:b/>
      <w:bCs/>
      <w:i/>
      <w:iCs/>
      <w:color w:val="4F81BD" w:themeColor="accent1"/>
    </w:rPr>
  </w:style>
  <w:style w:type="character" w:styleId="SubtleEmphasis">
    <w:name w:val="Subtle Emphasis"/>
    <w:basedOn w:val="DefaultParagraphFont"/>
    <w:uiPriority w:val="19"/>
    <w:qFormat/>
    <w:rsid w:val="00067B68"/>
    <w:rPr>
      <w:i/>
      <w:iCs/>
      <w:color w:val="808080" w:themeColor="text1" w:themeTint="7F"/>
    </w:rPr>
  </w:style>
  <w:style w:type="character" w:styleId="IntenseEmphasis">
    <w:name w:val="Intense Emphasis"/>
    <w:basedOn w:val="DefaultParagraphFont"/>
    <w:uiPriority w:val="21"/>
    <w:qFormat/>
    <w:rsid w:val="00067B68"/>
    <w:rPr>
      <w:b/>
      <w:bCs/>
      <w:i/>
      <w:iCs/>
      <w:color w:val="4F81BD" w:themeColor="accent1"/>
    </w:rPr>
  </w:style>
  <w:style w:type="character" w:styleId="SubtleReference">
    <w:name w:val="Subtle Reference"/>
    <w:basedOn w:val="DefaultParagraphFont"/>
    <w:uiPriority w:val="31"/>
    <w:qFormat/>
    <w:rsid w:val="00067B68"/>
    <w:rPr>
      <w:smallCaps/>
      <w:color w:val="C0504D" w:themeColor="accent2"/>
      <w:u w:val="single"/>
    </w:rPr>
  </w:style>
  <w:style w:type="character" w:styleId="IntenseReference">
    <w:name w:val="Intense Reference"/>
    <w:basedOn w:val="DefaultParagraphFont"/>
    <w:uiPriority w:val="32"/>
    <w:qFormat/>
    <w:rsid w:val="00067B68"/>
    <w:rPr>
      <w:b/>
      <w:bCs/>
      <w:smallCaps/>
      <w:color w:val="C0504D" w:themeColor="accent2"/>
      <w:spacing w:val="5"/>
      <w:u w:val="single"/>
    </w:rPr>
  </w:style>
  <w:style w:type="character" w:styleId="BookTitle">
    <w:name w:val="Book Title"/>
    <w:basedOn w:val="DefaultParagraphFont"/>
    <w:uiPriority w:val="33"/>
    <w:qFormat/>
    <w:rsid w:val="00067B68"/>
    <w:rPr>
      <w:b/>
      <w:bCs/>
      <w:smallCaps/>
      <w:spacing w:val="5"/>
    </w:rPr>
  </w:style>
  <w:style w:type="paragraph" w:styleId="TOCHeading">
    <w:name w:val="TOC Heading"/>
    <w:basedOn w:val="Heading1"/>
    <w:next w:val="Normal"/>
    <w:uiPriority w:val="39"/>
    <w:semiHidden/>
    <w:unhideWhenUsed/>
    <w:qFormat/>
    <w:rsid w:val="00067B68"/>
    <w:pPr>
      <w:outlineLvl w:val="9"/>
    </w:pPr>
  </w:style>
  <w:style w:type="character" w:customStyle="1" w:styleId="NoSpacingChar">
    <w:name w:val="No Spacing Char"/>
    <w:basedOn w:val="DefaultParagraphFont"/>
    <w:link w:val="NoSpacing"/>
    <w:uiPriority w:val="1"/>
    <w:rsid w:val="00067B68"/>
  </w:style>
  <w:style w:type="paragraph" w:customStyle="1" w:styleId="Default">
    <w:name w:val="Default"/>
    <w:rsid w:val="0025636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vel5">
    <w:name w:val="level5"/>
    <w:rsid w:val="007D2069"/>
    <w:pPr>
      <w:tabs>
        <w:tab w:val="num" w:pos="1389"/>
      </w:tabs>
      <w:spacing w:after="0" w:line="240" w:lineRule="auto"/>
      <w:ind w:left="1389" w:hanging="453"/>
    </w:pPr>
    <w:rPr>
      <w:rFonts w:ascii="Times New Roman" w:eastAsia="Times New Roman" w:hAnsi="Times New Roman" w:cs="Times New Roman"/>
      <w:sz w:val="24"/>
      <w:szCs w:val="24"/>
      <w:lang w:val="en-GB"/>
    </w:rPr>
  </w:style>
  <w:style w:type="paragraph" w:customStyle="1" w:styleId="level6">
    <w:name w:val="level6"/>
    <w:rsid w:val="007D2069"/>
    <w:pPr>
      <w:tabs>
        <w:tab w:val="num" w:pos="1843"/>
      </w:tabs>
      <w:spacing w:before="120" w:after="0" w:line="240" w:lineRule="auto"/>
      <w:ind w:left="1843" w:hanging="454"/>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13A9B"/>
    <w:rPr>
      <w:sz w:val="16"/>
      <w:szCs w:val="16"/>
    </w:rPr>
  </w:style>
  <w:style w:type="paragraph" w:styleId="CommentText">
    <w:name w:val="annotation text"/>
    <w:basedOn w:val="Normal"/>
    <w:link w:val="CommentTextChar"/>
    <w:uiPriority w:val="99"/>
    <w:unhideWhenUsed/>
    <w:rsid w:val="00713A9B"/>
    <w:pPr>
      <w:spacing w:line="240" w:lineRule="auto"/>
    </w:pPr>
    <w:rPr>
      <w:sz w:val="20"/>
      <w:szCs w:val="20"/>
    </w:rPr>
  </w:style>
  <w:style w:type="character" w:customStyle="1" w:styleId="CommentTextChar">
    <w:name w:val="Comment Text Char"/>
    <w:basedOn w:val="DefaultParagraphFont"/>
    <w:link w:val="CommentText"/>
    <w:uiPriority w:val="99"/>
    <w:rsid w:val="00713A9B"/>
    <w:rPr>
      <w:sz w:val="20"/>
      <w:szCs w:val="20"/>
      <w:lang w:val="en-GB"/>
    </w:rPr>
  </w:style>
  <w:style w:type="paragraph" w:styleId="CommentSubject">
    <w:name w:val="annotation subject"/>
    <w:basedOn w:val="CommentText"/>
    <w:next w:val="CommentText"/>
    <w:link w:val="CommentSubjectChar"/>
    <w:uiPriority w:val="99"/>
    <w:semiHidden/>
    <w:unhideWhenUsed/>
    <w:rsid w:val="00713A9B"/>
    <w:rPr>
      <w:b/>
      <w:bCs/>
    </w:rPr>
  </w:style>
  <w:style w:type="character" w:customStyle="1" w:styleId="CommentSubjectChar">
    <w:name w:val="Comment Subject Char"/>
    <w:basedOn w:val="CommentTextChar"/>
    <w:link w:val="CommentSubject"/>
    <w:uiPriority w:val="99"/>
    <w:semiHidden/>
    <w:rsid w:val="00713A9B"/>
    <w:rPr>
      <w:b/>
      <w:bCs/>
      <w:sz w:val="20"/>
      <w:szCs w:val="20"/>
      <w:lang w:val="en-GB"/>
    </w:rPr>
  </w:style>
  <w:style w:type="paragraph" w:styleId="BalloonText">
    <w:name w:val="Balloon Text"/>
    <w:basedOn w:val="Normal"/>
    <w:link w:val="BalloonTextChar"/>
    <w:uiPriority w:val="99"/>
    <w:semiHidden/>
    <w:unhideWhenUsed/>
    <w:rsid w:val="0071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9B"/>
    <w:rPr>
      <w:rFonts w:ascii="Tahoma" w:hAnsi="Tahoma" w:cs="Tahoma"/>
      <w:sz w:val="16"/>
      <w:szCs w:val="16"/>
      <w:lang w:val="en-GB"/>
    </w:rPr>
  </w:style>
  <w:style w:type="paragraph" w:styleId="NormalWeb">
    <w:name w:val="Normal (Web)"/>
    <w:basedOn w:val="Normal"/>
    <w:uiPriority w:val="99"/>
    <w:unhideWhenUsed/>
    <w:rsid w:val="005450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B70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8"/>
    <w:rPr>
      <w:lang w:val="en-GB"/>
    </w:rPr>
  </w:style>
  <w:style w:type="paragraph" w:styleId="Heading1">
    <w:name w:val="heading 1"/>
    <w:aliases w:val="Heading1_Titre1"/>
    <w:basedOn w:val="Normal"/>
    <w:next w:val="Normal"/>
    <w:link w:val="Heading1Char"/>
    <w:qFormat/>
    <w:rsid w:val="0006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2_Titre2"/>
    <w:basedOn w:val="Normal"/>
    <w:next w:val="Normal"/>
    <w:link w:val="Heading2Char"/>
    <w:unhideWhenUsed/>
    <w:qFormat/>
    <w:rsid w:val="00067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3_Titre3"/>
    <w:basedOn w:val="Normal"/>
    <w:next w:val="Normal"/>
    <w:link w:val="Heading3Char"/>
    <w:unhideWhenUsed/>
    <w:qFormat/>
    <w:rsid w:val="00067B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4_Titre4"/>
    <w:basedOn w:val="Normal"/>
    <w:next w:val="Normal"/>
    <w:link w:val="Heading4Char"/>
    <w:unhideWhenUsed/>
    <w:qFormat/>
    <w:rsid w:val="00067B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7B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7B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7B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B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B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067B68"/>
    <w:pPr>
      <w:ind w:left="720"/>
      <w:contextualSpacing/>
    </w:pPr>
  </w:style>
  <w:style w:type="character" w:customStyle="1" w:styleId="Heading1Char">
    <w:name w:val="Heading 1 Char"/>
    <w:aliases w:val="Heading1_Titre1 Char"/>
    <w:basedOn w:val="DefaultParagraphFont"/>
    <w:link w:val="Heading1"/>
    <w:uiPriority w:val="9"/>
    <w:rsid w:val="00067B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2_Titre2 Char"/>
    <w:basedOn w:val="DefaultParagraphFont"/>
    <w:link w:val="Heading2"/>
    <w:uiPriority w:val="9"/>
    <w:rsid w:val="00067B68"/>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C51EA0"/>
    <w:pPr>
      <w:ind w:left="240" w:hanging="240"/>
    </w:pPr>
    <w:rPr>
      <w:sz w:val="18"/>
      <w:szCs w:val="18"/>
    </w:rPr>
  </w:style>
  <w:style w:type="paragraph" w:styleId="Index2">
    <w:name w:val="index 2"/>
    <w:basedOn w:val="Normal"/>
    <w:next w:val="Normal"/>
    <w:autoRedefine/>
    <w:uiPriority w:val="99"/>
    <w:unhideWhenUsed/>
    <w:rsid w:val="00C51EA0"/>
    <w:pPr>
      <w:ind w:left="480" w:hanging="240"/>
    </w:pPr>
    <w:rPr>
      <w:sz w:val="18"/>
      <w:szCs w:val="18"/>
    </w:rPr>
  </w:style>
  <w:style w:type="paragraph" w:styleId="Index3">
    <w:name w:val="index 3"/>
    <w:basedOn w:val="Normal"/>
    <w:next w:val="Normal"/>
    <w:autoRedefine/>
    <w:uiPriority w:val="99"/>
    <w:unhideWhenUsed/>
    <w:rsid w:val="00C51EA0"/>
    <w:pPr>
      <w:ind w:left="720" w:hanging="240"/>
    </w:pPr>
    <w:rPr>
      <w:sz w:val="18"/>
      <w:szCs w:val="18"/>
    </w:rPr>
  </w:style>
  <w:style w:type="paragraph" w:styleId="Index4">
    <w:name w:val="index 4"/>
    <w:basedOn w:val="Normal"/>
    <w:next w:val="Normal"/>
    <w:autoRedefine/>
    <w:uiPriority w:val="99"/>
    <w:unhideWhenUsed/>
    <w:rsid w:val="00C51EA0"/>
    <w:pPr>
      <w:ind w:left="960" w:hanging="240"/>
    </w:pPr>
    <w:rPr>
      <w:sz w:val="18"/>
      <w:szCs w:val="18"/>
    </w:rPr>
  </w:style>
  <w:style w:type="paragraph" w:styleId="Index5">
    <w:name w:val="index 5"/>
    <w:basedOn w:val="Normal"/>
    <w:next w:val="Normal"/>
    <w:autoRedefine/>
    <w:uiPriority w:val="99"/>
    <w:unhideWhenUsed/>
    <w:rsid w:val="00C51EA0"/>
    <w:pPr>
      <w:ind w:left="1200" w:hanging="240"/>
    </w:pPr>
    <w:rPr>
      <w:sz w:val="18"/>
      <w:szCs w:val="18"/>
    </w:rPr>
  </w:style>
  <w:style w:type="paragraph" w:styleId="Index6">
    <w:name w:val="index 6"/>
    <w:basedOn w:val="Normal"/>
    <w:next w:val="Normal"/>
    <w:autoRedefine/>
    <w:uiPriority w:val="99"/>
    <w:unhideWhenUsed/>
    <w:rsid w:val="00C51EA0"/>
    <w:pPr>
      <w:ind w:left="1440" w:hanging="240"/>
    </w:pPr>
    <w:rPr>
      <w:sz w:val="18"/>
      <w:szCs w:val="18"/>
    </w:rPr>
  </w:style>
  <w:style w:type="paragraph" w:styleId="Index7">
    <w:name w:val="index 7"/>
    <w:basedOn w:val="Normal"/>
    <w:next w:val="Normal"/>
    <w:autoRedefine/>
    <w:uiPriority w:val="99"/>
    <w:unhideWhenUsed/>
    <w:rsid w:val="00C51EA0"/>
    <w:pPr>
      <w:ind w:left="1680" w:hanging="240"/>
    </w:pPr>
    <w:rPr>
      <w:sz w:val="18"/>
      <w:szCs w:val="18"/>
    </w:rPr>
  </w:style>
  <w:style w:type="paragraph" w:styleId="Index8">
    <w:name w:val="index 8"/>
    <w:basedOn w:val="Normal"/>
    <w:next w:val="Normal"/>
    <w:autoRedefine/>
    <w:uiPriority w:val="99"/>
    <w:unhideWhenUsed/>
    <w:rsid w:val="00C51EA0"/>
    <w:pPr>
      <w:ind w:left="1920" w:hanging="240"/>
    </w:pPr>
    <w:rPr>
      <w:sz w:val="18"/>
      <w:szCs w:val="18"/>
    </w:rPr>
  </w:style>
  <w:style w:type="paragraph" w:styleId="Index9">
    <w:name w:val="index 9"/>
    <w:basedOn w:val="Normal"/>
    <w:next w:val="Normal"/>
    <w:autoRedefine/>
    <w:uiPriority w:val="99"/>
    <w:unhideWhenUsed/>
    <w:rsid w:val="00C51EA0"/>
    <w:pPr>
      <w:ind w:left="2160" w:hanging="240"/>
    </w:pPr>
    <w:rPr>
      <w:sz w:val="18"/>
      <w:szCs w:val="18"/>
    </w:rPr>
  </w:style>
  <w:style w:type="paragraph" w:styleId="IndexHeading">
    <w:name w:val="index heading"/>
    <w:basedOn w:val="Normal"/>
    <w:next w:val="Index1"/>
    <w:uiPriority w:val="99"/>
    <w:unhideWhenUsed/>
    <w:rsid w:val="00C51EA0"/>
    <w:pPr>
      <w:spacing w:before="240" w:after="120"/>
      <w:jc w:val="center"/>
    </w:pPr>
    <w:rPr>
      <w:b/>
      <w:sz w:val="26"/>
      <w:szCs w:val="26"/>
    </w:rPr>
  </w:style>
  <w:style w:type="paragraph" w:styleId="TOC1">
    <w:name w:val="toc 1"/>
    <w:basedOn w:val="Normal"/>
    <w:next w:val="Normal"/>
    <w:autoRedefine/>
    <w:uiPriority w:val="39"/>
    <w:unhideWhenUsed/>
    <w:rsid w:val="0068506C"/>
    <w:pPr>
      <w:tabs>
        <w:tab w:val="left" w:pos="426"/>
        <w:tab w:val="right" w:leader="dot" w:pos="8290"/>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2E22B3"/>
    <w:pPr>
      <w:tabs>
        <w:tab w:val="left" w:pos="574"/>
        <w:tab w:val="right" w:leader="dot" w:pos="8364"/>
      </w:tabs>
      <w:spacing w:after="0" w:line="360" w:lineRule="auto"/>
    </w:pPr>
  </w:style>
  <w:style w:type="paragraph" w:styleId="TOC3">
    <w:name w:val="toc 3"/>
    <w:basedOn w:val="Normal"/>
    <w:next w:val="Normal"/>
    <w:autoRedefine/>
    <w:uiPriority w:val="39"/>
    <w:unhideWhenUsed/>
    <w:rsid w:val="002E22B3"/>
    <w:pPr>
      <w:tabs>
        <w:tab w:val="left" w:pos="1100"/>
        <w:tab w:val="right" w:leader="dot" w:pos="8364"/>
      </w:tabs>
      <w:spacing w:after="0"/>
      <w:ind w:left="220"/>
    </w:pPr>
    <w:rPr>
      <w:i/>
    </w:rPr>
  </w:style>
  <w:style w:type="paragraph" w:styleId="TOC4">
    <w:name w:val="toc 4"/>
    <w:basedOn w:val="Normal"/>
    <w:next w:val="Normal"/>
    <w:autoRedefine/>
    <w:uiPriority w:val="39"/>
    <w:unhideWhenUsed/>
    <w:rsid w:val="00C51EA0"/>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51EA0"/>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51EA0"/>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51EA0"/>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51EA0"/>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51EA0"/>
    <w:pPr>
      <w:pBdr>
        <w:between w:val="double" w:sz="6" w:space="0" w:color="auto"/>
      </w:pBdr>
      <w:spacing w:after="0"/>
      <w:ind w:left="1540"/>
    </w:pPr>
    <w:rPr>
      <w:sz w:val="20"/>
      <w:szCs w:val="20"/>
    </w:rPr>
  </w:style>
  <w:style w:type="paragraph" w:styleId="Header">
    <w:name w:val="header"/>
    <w:basedOn w:val="Normal"/>
    <w:link w:val="HeaderChar"/>
    <w:uiPriority w:val="99"/>
    <w:unhideWhenUsed/>
    <w:rsid w:val="008F02B9"/>
    <w:pPr>
      <w:tabs>
        <w:tab w:val="center" w:pos="4153"/>
        <w:tab w:val="right" w:pos="8306"/>
      </w:tabs>
    </w:pPr>
  </w:style>
  <w:style w:type="character" w:customStyle="1" w:styleId="HeaderChar">
    <w:name w:val="Header Char"/>
    <w:basedOn w:val="DefaultParagraphFont"/>
    <w:link w:val="Header"/>
    <w:uiPriority w:val="99"/>
    <w:rsid w:val="008F02B9"/>
    <w:rPr>
      <w:lang w:val="en-US"/>
    </w:rPr>
  </w:style>
  <w:style w:type="paragraph" w:styleId="Footer">
    <w:name w:val="footer"/>
    <w:basedOn w:val="Normal"/>
    <w:link w:val="FooterChar"/>
    <w:uiPriority w:val="99"/>
    <w:unhideWhenUsed/>
    <w:rsid w:val="008F02B9"/>
    <w:pPr>
      <w:tabs>
        <w:tab w:val="center" w:pos="4153"/>
        <w:tab w:val="right" w:pos="8306"/>
      </w:tabs>
    </w:pPr>
  </w:style>
  <w:style w:type="character" w:customStyle="1" w:styleId="FooterChar">
    <w:name w:val="Footer Char"/>
    <w:basedOn w:val="DefaultParagraphFont"/>
    <w:link w:val="Footer"/>
    <w:uiPriority w:val="99"/>
    <w:rsid w:val="008F02B9"/>
    <w:rPr>
      <w:lang w:val="en-US"/>
    </w:rPr>
  </w:style>
  <w:style w:type="character" w:customStyle="1" w:styleId="Heading3Char">
    <w:name w:val="Heading 3 Char"/>
    <w:aliases w:val="Heading3_Titre3 Char"/>
    <w:basedOn w:val="DefaultParagraphFont"/>
    <w:link w:val="Heading3"/>
    <w:uiPriority w:val="9"/>
    <w:rsid w:val="00067B68"/>
    <w:rPr>
      <w:rFonts w:asciiTheme="majorHAnsi" w:eastAsiaTheme="majorEastAsia" w:hAnsiTheme="majorHAnsi" w:cstheme="majorBidi"/>
      <w:b/>
      <w:bCs/>
      <w:color w:val="4F81BD" w:themeColor="accent1"/>
    </w:rPr>
  </w:style>
  <w:style w:type="character" w:customStyle="1" w:styleId="Heading4Char">
    <w:name w:val="Heading 4 Char"/>
    <w:aliases w:val="Heading4_Titre4 Char"/>
    <w:basedOn w:val="DefaultParagraphFont"/>
    <w:link w:val="Heading4"/>
    <w:uiPriority w:val="9"/>
    <w:rsid w:val="00067B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7B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7B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7B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B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B6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67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B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7B68"/>
    <w:rPr>
      <w:b/>
      <w:bCs/>
    </w:rPr>
  </w:style>
  <w:style w:type="character" w:styleId="Emphasis">
    <w:name w:val="Emphasis"/>
    <w:basedOn w:val="DefaultParagraphFont"/>
    <w:uiPriority w:val="20"/>
    <w:qFormat/>
    <w:rsid w:val="00067B68"/>
    <w:rPr>
      <w:i/>
      <w:iCs/>
    </w:rPr>
  </w:style>
  <w:style w:type="paragraph" w:styleId="NoSpacing">
    <w:name w:val="No Spacing"/>
    <w:link w:val="NoSpacingChar"/>
    <w:uiPriority w:val="1"/>
    <w:qFormat/>
    <w:rsid w:val="00067B68"/>
    <w:pPr>
      <w:spacing w:after="0" w:line="240" w:lineRule="auto"/>
    </w:pPr>
  </w:style>
  <w:style w:type="paragraph" w:styleId="Quote">
    <w:name w:val="Quote"/>
    <w:basedOn w:val="Normal"/>
    <w:next w:val="Normal"/>
    <w:link w:val="QuoteChar"/>
    <w:uiPriority w:val="29"/>
    <w:qFormat/>
    <w:rsid w:val="00067B68"/>
    <w:rPr>
      <w:i/>
      <w:iCs/>
      <w:color w:val="000000" w:themeColor="text1"/>
    </w:rPr>
  </w:style>
  <w:style w:type="character" w:customStyle="1" w:styleId="QuoteChar">
    <w:name w:val="Quote Char"/>
    <w:basedOn w:val="DefaultParagraphFont"/>
    <w:link w:val="Quote"/>
    <w:uiPriority w:val="29"/>
    <w:rsid w:val="00067B68"/>
    <w:rPr>
      <w:i/>
      <w:iCs/>
      <w:color w:val="000000" w:themeColor="text1"/>
    </w:rPr>
  </w:style>
  <w:style w:type="paragraph" w:styleId="IntenseQuote">
    <w:name w:val="Intense Quote"/>
    <w:basedOn w:val="Normal"/>
    <w:next w:val="Normal"/>
    <w:link w:val="IntenseQuoteChar"/>
    <w:uiPriority w:val="30"/>
    <w:qFormat/>
    <w:rsid w:val="00067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7B68"/>
    <w:rPr>
      <w:b/>
      <w:bCs/>
      <w:i/>
      <w:iCs/>
      <w:color w:val="4F81BD" w:themeColor="accent1"/>
    </w:rPr>
  </w:style>
  <w:style w:type="character" w:styleId="SubtleEmphasis">
    <w:name w:val="Subtle Emphasis"/>
    <w:basedOn w:val="DefaultParagraphFont"/>
    <w:uiPriority w:val="19"/>
    <w:qFormat/>
    <w:rsid w:val="00067B68"/>
    <w:rPr>
      <w:i/>
      <w:iCs/>
      <w:color w:val="808080" w:themeColor="text1" w:themeTint="7F"/>
    </w:rPr>
  </w:style>
  <w:style w:type="character" w:styleId="IntenseEmphasis">
    <w:name w:val="Intense Emphasis"/>
    <w:basedOn w:val="DefaultParagraphFont"/>
    <w:uiPriority w:val="21"/>
    <w:qFormat/>
    <w:rsid w:val="00067B68"/>
    <w:rPr>
      <w:b/>
      <w:bCs/>
      <w:i/>
      <w:iCs/>
      <w:color w:val="4F81BD" w:themeColor="accent1"/>
    </w:rPr>
  </w:style>
  <w:style w:type="character" w:styleId="SubtleReference">
    <w:name w:val="Subtle Reference"/>
    <w:basedOn w:val="DefaultParagraphFont"/>
    <w:uiPriority w:val="31"/>
    <w:qFormat/>
    <w:rsid w:val="00067B68"/>
    <w:rPr>
      <w:smallCaps/>
      <w:color w:val="C0504D" w:themeColor="accent2"/>
      <w:u w:val="single"/>
    </w:rPr>
  </w:style>
  <w:style w:type="character" w:styleId="IntenseReference">
    <w:name w:val="Intense Reference"/>
    <w:basedOn w:val="DefaultParagraphFont"/>
    <w:uiPriority w:val="32"/>
    <w:qFormat/>
    <w:rsid w:val="00067B68"/>
    <w:rPr>
      <w:b/>
      <w:bCs/>
      <w:smallCaps/>
      <w:color w:val="C0504D" w:themeColor="accent2"/>
      <w:spacing w:val="5"/>
      <w:u w:val="single"/>
    </w:rPr>
  </w:style>
  <w:style w:type="character" w:styleId="BookTitle">
    <w:name w:val="Book Title"/>
    <w:basedOn w:val="DefaultParagraphFont"/>
    <w:uiPriority w:val="33"/>
    <w:qFormat/>
    <w:rsid w:val="00067B68"/>
    <w:rPr>
      <w:b/>
      <w:bCs/>
      <w:smallCaps/>
      <w:spacing w:val="5"/>
    </w:rPr>
  </w:style>
  <w:style w:type="paragraph" w:styleId="TOCHeading">
    <w:name w:val="TOC Heading"/>
    <w:basedOn w:val="Heading1"/>
    <w:next w:val="Normal"/>
    <w:uiPriority w:val="39"/>
    <w:semiHidden/>
    <w:unhideWhenUsed/>
    <w:qFormat/>
    <w:rsid w:val="00067B68"/>
    <w:pPr>
      <w:outlineLvl w:val="9"/>
    </w:pPr>
  </w:style>
  <w:style w:type="character" w:customStyle="1" w:styleId="NoSpacingChar">
    <w:name w:val="No Spacing Char"/>
    <w:basedOn w:val="DefaultParagraphFont"/>
    <w:link w:val="NoSpacing"/>
    <w:uiPriority w:val="1"/>
    <w:rsid w:val="00067B68"/>
  </w:style>
  <w:style w:type="paragraph" w:customStyle="1" w:styleId="Default">
    <w:name w:val="Default"/>
    <w:rsid w:val="0025636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vel5">
    <w:name w:val="level5"/>
    <w:rsid w:val="007D2069"/>
    <w:pPr>
      <w:tabs>
        <w:tab w:val="num" w:pos="1389"/>
      </w:tabs>
      <w:spacing w:after="0" w:line="240" w:lineRule="auto"/>
      <w:ind w:left="1389" w:hanging="453"/>
    </w:pPr>
    <w:rPr>
      <w:rFonts w:ascii="Times New Roman" w:eastAsia="Times New Roman" w:hAnsi="Times New Roman" w:cs="Times New Roman"/>
      <w:sz w:val="24"/>
      <w:szCs w:val="24"/>
      <w:lang w:val="en-GB"/>
    </w:rPr>
  </w:style>
  <w:style w:type="paragraph" w:customStyle="1" w:styleId="level6">
    <w:name w:val="level6"/>
    <w:rsid w:val="007D2069"/>
    <w:pPr>
      <w:tabs>
        <w:tab w:val="num" w:pos="1843"/>
      </w:tabs>
      <w:spacing w:before="120" w:after="0" w:line="240" w:lineRule="auto"/>
      <w:ind w:left="1843" w:hanging="454"/>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13A9B"/>
    <w:rPr>
      <w:sz w:val="16"/>
      <w:szCs w:val="16"/>
    </w:rPr>
  </w:style>
  <w:style w:type="paragraph" w:styleId="CommentText">
    <w:name w:val="annotation text"/>
    <w:basedOn w:val="Normal"/>
    <w:link w:val="CommentTextChar"/>
    <w:uiPriority w:val="99"/>
    <w:unhideWhenUsed/>
    <w:rsid w:val="00713A9B"/>
    <w:pPr>
      <w:spacing w:line="240" w:lineRule="auto"/>
    </w:pPr>
    <w:rPr>
      <w:sz w:val="20"/>
      <w:szCs w:val="20"/>
    </w:rPr>
  </w:style>
  <w:style w:type="character" w:customStyle="1" w:styleId="CommentTextChar">
    <w:name w:val="Comment Text Char"/>
    <w:basedOn w:val="DefaultParagraphFont"/>
    <w:link w:val="CommentText"/>
    <w:uiPriority w:val="99"/>
    <w:rsid w:val="00713A9B"/>
    <w:rPr>
      <w:sz w:val="20"/>
      <w:szCs w:val="20"/>
      <w:lang w:val="en-GB"/>
    </w:rPr>
  </w:style>
  <w:style w:type="paragraph" w:styleId="CommentSubject">
    <w:name w:val="annotation subject"/>
    <w:basedOn w:val="CommentText"/>
    <w:next w:val="CommentText"/>
    <w:link w:val="CommentSubjectChar"/>
    <w:uiPriority w:val="99"/>
    <w:semiHidden/>
    <w:unhideWhenUsed/>
    <w:rsid w:val="00713A9B"/>
    <w:rPr>
      <w:b/>
      <w:bCs/>
    </w:rPr>
  </w:style>
  <w:style w:type="character" w:customStyle="1" w:styleId="CommentSubjectChar">
    <w:name w:val="Comment Subject Char"/>
    <w:basedOn w:val="CommentTextChar"/>
    <w:link w:val="CommentSubject"/>
    <w:uiPriority w:val="99"/>
    <w:semiHidden/>
    <w:rsid w:val="00713A9B"/>
    <w:rPr>
      <w:b/>
      <w:bCs/>
      <w:sz w:val="20"/>
      <w:szCs w:val="20"/>
      <w:lang w:val="en-GB"/>
    </w:rPr>
  </w:style>
  <w:style w:type="paragraph" w:styleId="BalloonText">
    <w:name w:val="Balloon Text"/>
    <w:basedOn w:val="Normal"/>
    <w:link w:val="BalloonTextChar"/>
    <w:uiPriority w:val="99"/>
    <w:semiHidden/>
    <w:unhideWhenUsed/>
    <w:rsid w:val="0071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9B"/>
    <w:rPr>
      <w:rFonts w:ascii="Tahoma" w:hAnsi="Tahoma" w:cs="Tahoma"/>
      <w:sz w:val="16"/>
      <w:szCs w:val="16"/>
      <w:lang w:val="en-GB"/>
    </w:rPr>
  </w:style>
  <w:style w:type="paragraph" w:styleId="NormalWeb">
    <w:name w:val="Normal (Web)"/>
    <w:basedOn w:val="Normal"/>
    <w:uiPriority w:val="99"/>
    <w:unhideWhenUsed/>
    <w:rsid w:val="005450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B70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597">
      <w:bodyDiv w:val="1"/>
      <w:marLeft w:val="0"/>
      <w:marRight w:val="0"/>
      <w:marTop w:val="0"/>
      <w:marBottom w:val="0"/>
      <w:divBdr>
        <w:top w:val="none" w:sz="0" w:space="0" w:color="auto"/>
        <w:left w:val="none" w:sz="0" w:space="0" w:color="auto"/>
        <w:bottom w:val="none" w:sz="0" w:space="0" w:color="auto"/>
        <w:right w:val="none" w:sz="0" w:space="0" w:color="auto"/>
      </w:divBdr>
    </w:div>
    <w:div w:id="133957715">
      <w:bodyDiv w:val="1"/>
      <w:marLeft w:val="0"/>
      <w:marRight w:val="0"/>
      <w:marTop w:val="0"/>
      <w:marBottom w:val="0"/>
      <w:divBdr>
        <w:top w:val="none" w:sz="0" w:space="0" w:color="auto"/>
        <w:left w:val="none" w:sz="0" w:space="0" w:color="auto"/>
        <w:bottom w:val="none" w:sz="0" w:space="0" w:color="auto"/>
        <w:right w:val="none" w:sz="0" w:space="0" w:color="auto"/>
      </w:divBdr>
    </w:div>
    <w:div w:id="1059942947">
      <w:bodyDiv w:val="1"/>
      <w:marLeft w:val="0"/>
      <w:marRight w:val="0"/>
      <w:marTop w:val="0"/>
      <w:marBottom w:val="0"/>
      <w:divBdr>
        <w:top w:val="none" w:sz="0" w:space="0" w:color="auto"/>
        <w:left w:val="none" w:sz="0" w:space="0" w:color="auto"/>
        <w:bottom w:val="none" w:sz="0" w:space="0" w:color="auto"/>
        <w:right w:val="none" w:sz="0" w:space="0" w:color="auto"/>
      </w:divBdr>
    </w:div>
    <w:div w:id="1512722745">
      <w:bodyDiv w:val="1"/>
      <w:marLeft w:val="0"/>
      <w:marRight w:val="0"/>
      <w:marTop w:val="0"/>
      <w:marBottom w:val="0"/>
      <w:divBdr>
        <w:top w:val="none" w:sz="0" w:space="0" w:color="auto"/>
        <w:left w:val="none" w:sz="0" w:space="0" w:color="auto"/>
        <w:bottom w:val="none" w:sz="0" w:space="0" w:color="auto"/>
        <w:right w:val="none" w:sz="0" w:space="0" w:color="auto"/>
      </w:divBdr>
    </w:div>
    <w:div w:id="2002345885">
      <w:bodyDiv w:val="1"/>
      <w:marLeft w:val="0"/>
      <w:marRight w:val="0"/>
      <w:marTop w:val="0"/>
      <w:marBottom w:val="0"/>
      <w:divBdr>
        <w:top w:val="none" w:sz="0" w:space="0" w:color="auto"/>
        <w:left w:val="none" w:sz="0" w:space="0" w:color="auto"/>
        <w:bottom w:val="none" w:sz="0" w:space="0" w:color="auto"/>
        <w:right w:val="none" w:sz="0" w:space="0" w:color="auto"/>
      </w:divBdr>
      <w:divsChild>
        <w:div w:id="63797446">
          <w:marLeft w:val="0"/>
          <w:marRight w:val="0"/>
          <w:marTop w:val="0"/>
          <w:marBottom w:val="0"/>
          <w:divBdr>
            <w:top w:val="none" w:sz="0" w:space="0" w:color="auto"/>
            <w:left w:val="none" w:sz="0" w:space="0" w:color="auto"/>
            <w:bottom w:val="none" w:sz="0" w:space="0" w:color="auto"/>
            <w:right w:val="none" w:sz="0" w:space="0" w:color="auto"/>
          </w:divBdr>
          <w:divsChild>
            <w:div w:id="1420519865">
              <w:marLeft w:val="0"/>
              <w:marRight w:val="0"/>
              <w:marTop w:val="0"/>
              <w:marBottom w:val="0"/>
              <w:divBdr>
                <w:top w:val="none" w:sz="0" w:space="0" w:color="auto"/>
                <w:left w:val="none" w:sz="0" w:space="0" w:color="auto"/>
                <w:bottom w:val="none" w:sz="0" w:space="0" w:color="auto"/>
                <w:right w:val="none" w:sz="0" w:space="0" w:color="auto"/>
              </w:divBdr>
              <w:divsChild>
                <w:div w:id="1727610116">
                  <w:marLeft w:val="0"/>
                  <w:marRight w:val="0"/>
                  <w:marTop w:val="0"/>
                  <w:marBottom w:val="0"/>
                  <w:divBdr>
                    <w:top w:val="none" w:sz="0" w:space="0" w:color="auto"/>
                    <w:left w:val="none" w:sz="0" w:space="0" w:color="auto"/>
                    <w:bottom w:val="none" w:sz="0" w:space="0" w:color="auto"/>
                    <w:right w:val="none" w:sz="0" w:space="0" w:color="auto"/>
                  </w:divBdr>
                  <w:divsChild>
                    <w:div w:id="1152865559">
                      <w:marLeft w:val="0"/>
                      <w:marRight w:val="0"/>
                      <w:marTop w:val="0"/>
                      <w:marBottom w:val="0"/>
                      <w:divBdr>
                        <w:top w:val="none" w:sz="0" w:space="0" w:color="auto"/>
                        <w:left w:val="none" w:sz="0" w:space="0" w:color="auto"/>
                        <w:bottom w:val="none" w:sz="0" w:space="0" w:color="auto"/>
                        <w:right w:val="none" w:sz="0" w:space="0" w:color="auto"/>
                      </w:divBdr>
                      <w:divsChild>
                        <w:div w:id="224492624">
                          <w:marLeft w:val="0"/>
                          <w:marRight w:val="0"/>
                          <w:marTop w:val="0"/>
                          <w:marBottom w:val="0"/>
                          <w:divBdr>
                            <w:top w:val="none" w:sz="0" w:space="0" w:color="auto"/>
                            <w:left w:val="none" w:sz="0" w:space="0" w:color="auto"/>
                            <w:bottom w:val="none" w:sz="0" w:space="0" w:color="auto"/>
                            <w:right w:val="none" w:sz="0" w:space="0" w:color="auto"/>
                          </w:divBdr>
                          <w:divsChild>
                            <w:div w:id="628366912">
                              <w:marLeft w:val="0"/>
                              <w:marRight w:val="0"/>
                              <w:marTop w:val="0"/>
                              <w:marBottom w:val="0"/>
                              <w:divBdr>
                                <w:top w:val="none" w:sz="0" w:space="0" w:color="auto"/>
                                <w:left w:val="none" w:sz="0" w:space="0" w:color="auto"/>
                                <w:bottom w:val="none" w:sz="0" w:space="0" w:color="auto"/>
                                <w:right w:val="none" w:sz="0" w:space="0" w:color="auto"/>
                              </w:divBdr>
                              <w:divsChild>
                                <w:div w:id="110906998">
                                  <w:marLeft w:val="0"/>
                                  <w:marRight w:val="0"/>
                                  <w:marTop w:val="0"/>
                                  <w:marBottom w:val="0"/>
                                  <w:divBdr>
                                    <w:top w:val="none" w:sz="0" w:space="0" w:color="auto"/>
                                    <w:left w:val="none" w:sz="0" w:space="0" w:color="auto"/>
                                    <w:bottom w:val="none" w:sz="0" w:space="0" w:color="auto"/>
                                    <w:right w:val="none" w:sz="0" w:space="0" w:color="auto"/>
                                  </w:divBdr>
                                  <w:divsChild>
                                    <w:div w:id="1667051226">
                                      <w:marLeft w:val="0"/>
                                      <w:marRight w:val="0"/>
                                      <w:marTop w:val="0"/>
                                      <w:marBottom w:val="0"/>
                                      <w:divBdr>
                                        <w:top w:val="none" w:sz="0" w:space="0" w:color="auto"/>
                                        <w:left w:val="none" w:sz="0" w:space="0" w:color="auto"/>
                                        <w:bottom w:val="none" w:sz="0" w:space="0" w:color="auto"/>
                                        <w:right w:val="none" w:sz="0" w:space="0" w:color="auto"/>
                                      </w:divBdr>
                                      <w:divsChild>
                                        <w:div w:id="1921712220">
                                          <w:marLeft w:val="0"/>
                                          <w:marRight w:val="0"/>
                                          <w:marTop w:val="0"/>
                                          <w:marBottom w:val="0"/>
                                          <w:divBdr>
                                            <w:top w:val="none" w:sz="0" w:space="0" w:color="auto"/>
                                            <w:left w:val="none" w:sz="0" w:space="0" w:color="auto"/>
                                            <w:bottom w:val="none" w:sz="0" w:space="0" w:color="auto"/>
                                            <w:right w:val="none" w:sz="0" w:space="0" w:color="auto"/>
                                          </w:divBdr>
                                          <w:divsChild>
                                            <w:div w:id="10666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41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zop@azop.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ivacy@takeda.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Issue date : Dd/mm/2016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9DE11-A169-42FE-BFBC-1B8FD921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2698</Words>
  <Characters>15382</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Methodological note - 2015</vt:lpstr>
      <vt:lpstr/>
    </vt:vector>
  </TitlesOfParts>
  <Company>Takeda</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 - 2015</dc:title>
  <dc:subject>Accompanying  document for the public Transparency of Transfer of Value to Healthcare Professionals and HealthCare Organization in 2015</dc:subject>
  <dc:creator>Takeda local legal entity name</dc:creator>
  <cp:lastModifiedBy>Jelena Vidmar Kruzic</cp:lastModifiedBy>
  <cp:revision>4</cp:revision>
  <cp:lastPrinted>2017-06-26T12:28:00Z</cp:lastPrinted>
  <dcterms:created xsi:type="dcterms:W3CDTF">2018-06-21T14:24:00Z</dcterms:created>
  <dcterms:modified xsi:type="dcterms:W3CDTF">2019-06-11T08:46:00Z</dcterms:modified>
</cp:coreProperties>
</file>