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val="en-GB"/>
        </w:rPr>
        <w:id w:val="718245742"/>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firstRow="1" w:lastRow="0" w:firstColumn="1" w:lastColumn="0" w:noHBand="0" w:noVBand="1"/>
          </w:tblPr>
          <w:tblGrid>
            <w:gridCol w:w="10138"/>
          </w:tblGrid>
          <w:tr w:rsidR="00545024" w14:paraId="412FC302" w14:textId="77777777">
            <w:trPr>
              <w:trHeight w:val="2880"/>
              <w:jc w:val="center"/>
            </w:trPr>
            <w:tc>
              <w:tcPr>
                <w:tcW w:w="5000" w:type="pct"/>
              </w:tcPr>
              <w:p w14:paraId="77603720" w14:textId="13397FEB" w:rsidR="00545024" w:rsidRDefault="007F3C26" w:rsidP="00545024">
                <w:pPr>
                  <w:pStyle w:val="NoSpacing"/>
                  <w:jc w:val="center"/>
                  <w:rPr>
                    <w:rFonts w:asciiTheme="majorHAnsi" w:eastAsiaTheme="majorEastAsia" w:hAnsiTheme="majorHAnsi" w:cstheme="majorBidi"/>
                    <w:caps/>
                  </w:rPr>
                </w:pPr>
                <w:r w:rsidRPr="00B14943">
                  <w:rPr>
                    <w:noProof/>
                    <w:sz w:val="18"/>
                    <w:szCs w:val="18"/>
                    <w:lang w:val="de-DE" w:eastAsia="de-DE"/>
                  </w:rPr>
                  <w:drawing>
                    <wp:anchor distT="0" distB="0" distL="114300" distR="114300" simplePos="0" relativeHeight="251659264" behindDoc="1" locked="0" layoutInCell="1" allowOverlap="1" wp14:anchorId="7E385401" wp14:editId="2AE77A89">
                      <wp:simplePos x="0" y="0"/>
                      <wp:positionH relativeFrom="column">
                        <wp:posOffset>2142490</wp:posOffset>
                      </wp:positionH>
                      <wp:positionV relativeFrom="paragraph">
                        <wp:posOffset>651822</wp:posOffset>
                      </wp:positionV>
                      <wp:extent cx="2241197" cy="752475"/>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akeda.svg.png"/>
                              <pic:cNvPicPr/>
                            </pic:nvPicPr>
                            <pic:blipFill>
                              <a:blip r:embed="rId10">
                                <a:extLst>
                                  <a:ext uri="{28A0092B-C50C-407E-A947-70E740481C1C}">
                                    <a14:useLocalDpi xmlns:a14="http://schemas.microsoft.com/office/drawing/2010/main" val="0"/>
                                  </a:ext>
                                </a:extLst>
                              </a:blip>
                              <a:stretch>
                                <a:fillRect/>
                              </a:stretch>
                            </pic:blipFill>
                            <pic:spPr>
                              <a:xfrm>
                                <a:off x="0" y="0"/>
                                <a:ext cx="2241197" cy="752475"/>
                              </a:xfrm>
                              <a:prstGeom prst="rect">
                                <a:avLst/>
                              </a:prstGeom>
                            </pic:spPr>
                          </pic:pic>
                        </a:graphicData>
                      </a:graphic>
                      <wp14:sizeRelH relativeFrom="page">
                        <wp14:pctWidth>0</wp14:pctWidth>
                      </wp14:sizeRelH>
                      <wp14:sizeRelV relativeFrom="page">
                        <wp14:pctHeight>0</wp14:pctHeight>
                      </wp14:sizeRelV>
                    </wp:anchor>
                  </w:drawing>
                </w:r>
              </w:p>
            </w:tc>
          </w:tr>
          <w:tr w:rsidR="00545024" w14:paraId="4E4714E7" w14:textId="77777777">
            <w:trPr>
              <w:trHeight w:val="1440"/>
              <w:jc w:val="center"/>
            </w:trPr>
            <w:tc>
              <w:tcPr>
                <w:tcW w:w="5000" w:type="pct"/>
                <w:tcBorders>
                  <w:bottom w:val="single" w:sz="4" w:space="0" w:color="4F81BD" w:themeColor="accent1"/>
                </w:tcBorders>
                <w:vAlign w:val="center"/>
              </w:tcPr>
              <w:p w14:paraId="2DC37AC5" w14:textId="77777777" w:rsidR="00274F9B" w:rsidRDefault="00274F9B" w:rsidP="00274F9B">
                <w:pPr>
                  <w:pStyle w:val="NoSpacing"/>
                  <w:jc w:val="center"/>
                  <w:rPr>
                    <w:sz w:val="72"/>
                    <w:szCs w:val="72"/>
                    <w:lang w:val="en-US"/>
                  </w:rPr>
                </w:pPr>
              </w:p>
              <w:p w14:paraId="6058EB48" w14:textId="759C3FC0" w:rsidR="00545024" w:rsidRPr="00B14943" w:rsidRDefault="007F3C26" w:rsidP="003F62FC">
                <w:pPr>
                  <w:pStyle w:val="NoSpacing"/>
                  <w:jc w:val="center"/>
                  <w:rPr>
                    <w:rFonts w:asciiTheme="majorHAnsi" w:eastAsiaTheme="majorEastAsia" w:hAnsiTheme="majorHAnsi" w:cstheme="majorBidi"/>
                    <w:sz w:val="80"/>
                    <w:szCs w:val="80"/>
                    <w:lang w:val="en-US"/>
                  </w:rPr>
                </w:pPr>
                <w:proofErr w:type="spellStart"/>
                <w:r w:rsidRPr="00B14943">
                  <w:rPr>
                    <w:sz w:val="72"/>
                    <w:szCs w:val="72"/>
                    <w:lang w:val="en-US"/>
                  </w:rPr>
                  <w:t>Methodi</w:t>
                </w:r>
                <w:r w:rsidR="00B408B0">
                  <w:rPr>
                    <w:sz w:val="72"/>
                    <w:szCs w:val="72"/>
                    <w:lang w:val="en-US"/>
                  </w:rPr>
                  <w:t>s</w:t>
                </w:r>
                <w:r w:rsidRPr="00B14943">
                  <w:rPr>
                    <w:sz w:val="72"/>
                    <w:szCs w:val="72"/>
                    <w:lang w:val="en-US"/>
                  </w:rPr>
                  <w:t>c</w:t>
                </w:r>
                <w:r w:rsidR="00B408B0">
                  <w:rPr>
                    <w:sz w:val="72"/>
                    <w:szCs w:val="72"/>
                    <w:lang w:val="en-US"/>
                  </w:rPr>
                  <w:t>he</w:t>
                </w:r>
                <w:proofErr w:type="spellEnd"/>
                <w:r w:rsidR="00B408B0">
                  <w:rPr>
                    <w:sz w:val="72"/>
                    <w:szCs w:val="72"/>
                    <w:lang w:val="en-US"/>
                  </w:rPr>
                  <w:t xml:space="preserve"> </w:t>
                </w:r>
                <w:proofErr w:type="spellStart"/>
                <w:r w:rsidR="00B408B0">
                  <w:rPr>
                    <w:sz w:val="72"/>
                    <w:szCs w:val="72"/>
                    <w:lang w:val="en-US"/>
                  </w:rPr>
                  <w:t>Hinweis</w:t>
                </w:r>
                <w:r w:rsidR="003F62FC">
                  <w:rPr>
                    <w:sz w:val="72"/>
                    <w:szCs w:val="72"/>
                    <w:lang w:val="en-US"/>
                  </w:rPr>
                  <w:t>e</w:t>
                </w:r>
                <w:proofErr w:type="spellEnd"/>
                <w:r w:rsidR="00484803">
                  <w:rPr>
                    <w:sz w:val="72"/>
                    <w:szCs w:val="72"/>
                    <w:lang w:val="en-US"/>
                  </w:rPr>
                  <w:t xml:space="preserve"> - 2016</w:t>
                </w:r>
              </w:p>
            </w:tc>
          </w:tr>
          <w:tr w:rsidR="00545024" w:rsidRPr="009C7769" w14:paraId="63CA05F5" w14:textId="77777777">
            <w:trPr>
              <w:trHeight w:val="720"/>
              <w:jc w:val="center"/>
            </w:trPr>
            <w:tc>
              <w:tcPr>
                <w:tcW w:w="5000" w:type="pct"/>
                <w:tcBorders>
                  <w:top w:val="single" w:sz="4" w:space="0" w:color="4F81BD" w:themeColor="accent1"/>
                </w:tcBorders>
                <w:vAlign w:val="center"/>
              </w:tcPr>
              <w:p w14:paraId="17F9C367" w14:textId="71991308" w:rsidR="00545024" w:rsidRPr="003F62FC" w:rsidRDefault="003F62FC" w:rsidP="009F59ED">
                <w:pPr>
                  <w:pStyle w:val="NoSpacing"/>
                  <w:jc w:val="center"/>
                  <w:rPr>
                    <w:rFonts w:asciiTheme="majorHAnsi" w:eastAsiaTheme="majorEastAsia" w:hAnsiTheme="majorHAnsi" w:cstheme="majorBidi"/>
                    <w:sz w:val="44"/>
                    <w:szCs w:val="44"/>
                    <w:lang w:val="de-DE"/>
                  </w:rPr>
                </w:pPr>
                <w:r w:rsidRPr="003F62FC">
                  <w:rPr>
                    <w:rFonts w:asciiTheme="majorHAnsi" w:eastAsiaTheme="majorEastAsia" w:hAnsiTheme="majorHAnsi" w:cstheme="majorBidi"/>
                    <w:sz w:val="44"/>
                    <w:szCs w:val="44"/>
                    <w:lang w:val="de-DE"/>
                  </w:rPr>
                  <w:t>Begleit</w:t>
                </w:r>
                <w:r w:rsidR="007F3C26" w:rsidRPr="003F62FC">
                  <w:rPr>
                    <w:rFonts w:asciiTheme="majorHAnsi" w:eastAsiaTheme="majorEastAsia" w:hAnsiTheme="majorHAnsi" w:cstheme="majorBidi"/>
                    <w:sz w:val="44"/>
                    <w:szCs w:val="44"/>
                    <w:lang w:val="de-DE"/>
                  </w:rPr>
                  <w:t>do</w:t>
                </w:r>
                <w:r w:rsidRPr="003F62FC">
                  <w:rPr>
                    <w:rFonts w:asciiTheme="majorHAnsi" w:eastAsiaTheme="majorEastAsia" w:hAnsiTheme="majorHAnsi" w:cstheme="majorBidi"/>
                    <w:sz w:val="44"/>
                    <w:szCs w:val="44"/>
                    <w:lang w:val="de-DE"/>
                  </w:rPr>
                  <w:t>k</w:t>
                </w:r>
                <w:r w:rsidR="007F3C26" w:rsidRPr="003F62FC">
                  <w:rPr>
                    <w:rFonts w:asciiTheme="majorHAnsi" w:eastAsiaTheme="majorEastAsia" w:hAnsiTheme="majorHAnsi" w:cstheme="majorBidi"/>
                    <w:sz w:val="44"/>
                    <w:szCs w:val="44"/>
                    <w:lang w:val="de-DE"/>
                  </w:rPr>
                  <w:t xml:space="preserve">ument </w:t>
                </w:r>
                <w:r w:rsidRPr="003F62FC">
                  <w:rPr>
                    <w:rFonts w:asciiTheme="majorHAnsi" w:eastAsiaTheme="majorEastAsia" w:hAnsiTheme="majorHAnsi" w:cstheme="majorBidi"/>
                    <w:sz w:val="44"/>
                    <w:szCs w:val="44"/>
                    <w:lang w:val="de-DE"/>
                  </w:rPr>
                  <w:t xml:space="preserve">zur öffentlichen </w:t>
                </w:r>
                <w:r w:rsidR="007F3C26" w:rsidRPr="003F62FC">
                  <w:rPr>
                    <w:rFonts w:asciiTheme="majorHAnsi" w:eastAsiaTheme="majorEastAsia" w:hAnsiTheme="majorHAnsi" w:cstheme="majorBidi"/>
                    <w:sz w:val="44"/>
                    <w:szCs w:val="44"/>
                    <w:lang w:val="de-DE"/>
                  </w:rPr>
                  <w:t>Transparen</w:t>
                </w:r>
                <w:r w:rsidRPr="003F62FC">
                  <w:rPr>
                    <w:rFonts w:asciiTheme="majorHAnsi" w:eastAsiaTheme="majorEastAsia" w:hAnsiTheme="majorHAnsi" w:cstheme="majorBidi"/>
                    <w:sz w:val="44"/>
                    <w:szCs w:val="44"/>
                    <w:lang w:val="de-DE"/>
                  </w:rPr>
                  <w:t xml:space="preserve">z von Wertübertragungen an </w:t>
                </w:r>
                <w:r w:rsidR="009F59ED">
                  <w:rPr>
                    <w:rFonts w:asciiTheme="majorHAnsi" w:eastAsiaTheme="majorEastAsia" w:hAnsiTheme="majorHAnsi" w:cstheme="majorBidi"/>
                    <w:sz w:val="44"/>
                    <w:szCs w:val="44"/>
                    <w:lang w:val="de-DE"/>
                  </w:rPr>
                  <w:t>Angehörige von Gesundheitsberufen und Gesundheitso</w:t>
                </w:r>
                <w:r w:rsidR="007F3C26" w:rsidRPr="003F62FC">
                  <w:rPr>
                    <w:rFonts w:asciiTheme="majorHAnsi" w:eastAsiaTheme="majorEastAsia" w:hAnsiTheme="majorHAnsi" w:cstheme="majorBidi"/>
                    <w:sz w:val="44"/>
                    <w:szCs w:val="44"/>
                    <w:lang w:val="de-DE"/>
                  </w:rPr>
                  <w:t>rgani</w:t>
                </w:r>
                <w:r w:rsidR="009F59ED">
                  <w:rPr>
                    <w:rFonts w:asciiTheme="majorHAnsi" w:eastAsiaTheme="majorEastAsia" w:hAnsiTheme="majorHAnsi" w:cstheme="majorBidi"/>
                    <w:sz w:val="44"/>
                    <w:szCs w:val="44"/>
                    <w:lang w:val="de-DE"/>
                  </w:rPr>
                  <w:t>s</w:t>
                </w:r>
                <w:r w:rsidR="007F3C26" w:rsidRPr="003F62FC">
                  <w:rPr>
                    <w:rFonts w:asciiTheme="majorHAnsi" w:eastAsiaTheme="majorEastAsia" w:hAnsiTheme="majorHAnsi" w:cstheme="majorBidi"/>
                    <w:sz w:val="44"/>
                    <w:szCs w:val="44"/>
                    <w:lang w:val="de-DE"/>
                  </w:rPr>
                  <w:t>ation</w:t>
                </w:r>
                <w:r w:rsidR="009F59ED">
                  <w:rPr>
                    <w:rFonts w:asciiTheme="majorHAnsi" w:eastAsiaTheme="majorEastAsia" w:hAnsiTheme="majorHAnsi" w:cstheme="majorBidi"/>
                    <w:sz w:val="44"/>
                    <w:szCs w:val="44"/>
                    <w:lang w:val="de-DE"/>
                  </w:rPr>
                  <w:t>en</w:t>
                </w:r>
                <w:r w:rsidR="007F3C26" w:rsidRPr="003F62FC">
                  <w:rPr>
                    <w:rFonts w:asciiTheme="majorHAnsi" w:eastAsiaTheme="majorEastAsia" w:hAnsiTheme="majorHAnsi" w:cstheme="majorBidi"/>
                    <w:sz w:val="44"/>
                    <w:szCs w:val="44"/>
                    <w:lang w:val="de-DE"/>
                  </w:rPr>
                  <w:t xml:space="preserve"> </w:t>
                </w:r>
              </w:p>
            </w:tc>
          </w:tr>
          <w:tr w:rsidR="00545024" w:rsidRPr="009C7769" w14:paraId="120B6B13" w14:textId="77777777">
            <w:trPr>
              <w:trHeight w:val="360"/>
              <w:jc w:val="center"/>
            </w:trPr>
            <w:tc>
              <w:tcPr>
                <w:tcW w:w="5000" w:type="pct"/>
                <w:vAlign w:val="center"/>
              </w:tcPr>
              <w:p w14:paraId="5853630A" w14:textId="77777777" w:rsidR="00545024" w:rsidRPr="003F62FC" w:rsidRDefault="00545024">
                <w:pPr>
                  <w:pStyle w:val="NoSpacing"/>
                  <w:jc w:val="center"/>
                  <w:rPr>
                    <w:lang w:val="de-DE"/>
                  </w:rPr>
                </w:pPr>
              </w:p>
            </w:tc>
          </w:tr>
          <w:tr w:rsidR="00545024" w:rsidRPr="00A1671F" w14:paraId="2E0BE811" w14:textId="77777777">
            <w:trPr>
              <w:trHeight w:val="360"/>
              <w:jc w:val="center"/>
            </w:trPr>
            <w:tc>
              <w:tcPr>
                <w:tcW w:w="5000" w:type="pct"/>
                <w:vAlign w:val="center"/>
              </w:tcPr>
              <w:p w14:paraId="5B1775B8" w14:textId="5BD84F7F" w:rsidR="00545024" w:rsidRPr="00FE325D" w:rsidRDefault="00545024" w:rsidP="00A1671F">
                <w:pPr>
                  <w:pStyle w:val="NoSpacing"/>
                  <w:jc w:val="center"/>
                  <w:rPr>
                    <w:b/>
                    <w:bCs/>
                    <w:color w:val="FF0000"/>
                    <w:lang w:val="de-DE"/>
                  </w:rPr>
                </w:pPr>
                <w:r w:rsidRPr="00FE325D">
                  <w:rPr>
                    <w:b/>
                    <w:bCs/>
                    <w:lang w:val="de-DE"/>
                  </w:rPr>
                  <w:t xml:space="preserve">Takeda </w:t>
                </w:r>
                <w:r w:rsidR="00A1671F" w:rsidRPr="009C204E">
                  <w:rPr>
                    <w:b/>
                    <w:bCs/>
                    <w:lang w:val="de-DE"/>
                  </w:rPr>
                  <w:t>Pharma Vertrieb GmbH &amp; Co. KG</w:t>
                </w:r>
              </w:p>
            </w:tc>
          </w:tr>
          <w:tr w:rsidR="00545024" w:rsidRPr="009C204E" w14:paraId="3D9C587A" w14:textId="77777777">
            <w:trPr>
              <w:trHeight w:val="360"/>
              <w:jc w:val="center"/>
            </w:trPr>
            <w:tc>
              <w:tcPr>
                <w:tcW w:w="5000" w:type="pct"/>
                <w:vAlign w:val="center"/>
              </w:tcPr>
              <w:p w14:paraId="19D28DF3" w14:textId="33FC822D" w:rsidR="00545024" w:rsidRPr="00FE325D" w:rsidRDefault="00FE325D" w:rsidP="00484803">
                <w:pPr>
                  <w:pStyle w:val="NoSpacing"/>
                  <w:jc w:val="center"/>
                  <w:rPr>
                    <w:b/>
                    <w:bCs/>
                    <w:lang w:val="de-DE"/>
                  </w:rPr>
                </w:pPr>
                <w:r w:rsidRPr="00FE325D">
                  <w:rPr>
                    <w:b/>
                    <w:bCs/>
                    <w:lang w:val="de-DE"/>
                  </w:rPr>
                  <w:t>Datum der Ausfertigung</w:t>
                </w:r>
                <w:r w:rsidR="007F3C26" w:rsidRPr="00FE325D">
                  <w:rPr>
                    <w:b/>
                    <w:bCs/>
                    <w:lang w:val="de-DE"/>
                  </w:rPr>
                  <w:t xml:space="preserve">: </w:t>
                </w:r>
                <w:r w:rsidR="009C7769">
                  <w:rPr>
                    <w:b/>
                    <w:bCs/>
                    <w:lang w:val="de-DE"/>
                  </w:rPr>
                  <w:t>27</w:t>
                </w:r>
                <w:r w:rsidR="009C204E">
                  <w:rPr>
                    <w:b/>
                    <w:bCs/>
                    <w:lang w:val="de-DE"/>
                  </w:rPr>
                  <w:t>.</w:t>
                </w:r>
                <w:r w:rsidR="009C204E" w:rsidRPr="009C204E">
                  <w:rPr>
                    <w:b/>
                    <w:bCs/>
                    <w:lang w:val="de-DE"/>
                  </w:rPr>
                  <w:t>06</w:t>
                </w:r>
                <w:r w:rsidR="009C204E">
                  <w:rPr>
                    <w:b/>
                    <w:bCs/>
                    <w:lang w:val="de-DE"/>
                  </w:rPr>
                  <w:t>.</w:t>
                </w:r>
                <w:r w:rsidR="007F3C26" w:rsidRPr="009C204E">
                  <w:rPr>
                    <w:b/>
                    <w:bCs/>
                    <w:lang w:val="de-DE"/>
                  </w:rPr>
                  <w:t>201</w:t>
                </w:r>
                <w:r w:rsidR="00484803">
                  <w:rPr>
                    <w:b/>
                    <w:bCs/>
                    <w:lang w:val="de-DE"/>
                  </w:rPr>
                  <w:t>7</w:t>
                </w:r>
              </w:p>
            </w:tc>
          </w:tr>
        </w:tbl>
        <w:p w14:paraId="31FB18D0" w14:textId="77777777" w:rsidR="00545024" w:rsidRPr="00FE325D" w:rsidRDefault="00545024">
          <w:pPr>
            <w:rPr>
              <w:lang w:val="de-DE"/>
            </w:rPr>
          </w:pPr>
        </w:p>
        <w:p w14:paraId="302C0488" w14:textId="77777777" w:rsidR="00545024" w:rsidRPr="00FE325D" w:rsidRDefault="00545024">
          <w:pPr>
            <w:rPr>
              <w:lang w:val="de-DE"/>
            </w:rPr>
          </w:pPr>
          <w:bookmarkStart w:id="0" w:name="_GoBack"/>
          <w:bookmarkEnd w:id="0"/>
        </w:p>
        <w:p w14:paraId="46DBBFF7" w14:textId="2283328F" w:rsidR="00545024" w:rsidRPr="00A1671F" w:rsidRDefault="00545024">
          <w:pPr>
            <w:rPr>
              <w:rFonts w:eastAsiaTheme="majorEastAsia" w:cstheme="majorBidi"/>
              <w:color w:val="17365D" w:themeColor="text2" w:themeShade="BF"/>
              <w:spacing w:val="5"/>
              <w:kern w:val="28"/>
              <w:sz w:val="52"/>
              <w:szCs w:val="52"/>
              <w:lang w:val="de-DE"/>
            </w:rPr>
          </w:pPr>
          <w:r w:rsidRPr="00FE325D">
            <w:rPr>
              <w:lang w:val="de-DE"/>
            </w:rPr>
            <w:br w:type="page"/>
          </w:r>
        </w:p>
      </w:sdtContent>
    </w:sdt>
    <w:p w14:paraId="5E067FD3" w14:textId="776F1BB2" w:rsidR="00BA6C33" w:rsidRPr="008714FE" w:rsidRDefault="00DD5ACA" w:rsidP="004525A3">
      <w:pPr>
        <w:pStyle w:val="Title"/>
        <w:jc w:val="both"/>
        <w:rPr>
          <w:rFonts w:asciiTheme="minorHAnsi" w:hAnsiTheme="minorHAnsi"/>
          <w:lang w:val="de-DE"/>
        </w:rPr>
      </w:pPr>
      <w:r w:rsidRPr="008714FE">
        <w:rPr>
          <w:rFonts w:asciiTheme="minorHAnsi" w:hAnsiTheme="minorHAnsi"/>
          <w:lang w:val="de-DE"/>
        </w:rPr>
        <w:lastRenderedPageBreak/>
        <w:t>Methodi</w:t>
      </w:r>
      <w:r w:rsidR="003F62FC" w:rsidRPr="008714FE">
        <w:rPr>
          <w:rFonts w:asciiTheme="minorHAnsi" w:hAnsiTheme="minorHAnsi"/>
          <w:lang w:val="de-DE"/>
        </w:rPr>
        <w:t>s</w:t>
      </w:r>
      <w:r w:rsidRPr="008714FE">
        <w:rPr>
          <w:rFonts w:asciiTheme="minorHAnsi" w:hAnsiTheme="minorHAnsi"/>
          <w:lang w:val="de-DE"/>
        </w:rPr>
        <w:t>c</w:t>
      </w:r>
      <w:r w:rsidR="003F62FC" w:rsidRPr="008714FE">
        <w:rPr>
          <w:rFonts w:asciiTheme="minorHAnsi" w:hAnsiTheme="minorHAnsi"/>
          <w:lang w:val="de-DE"/>
        </w:rPr>
        <w:t>he</w:t>
      </w:r>
      <w:r w:rsidRPr="008714FE">
        <w:rPr>
          <w:rFonts w:asciiTheme="minorHAnsi" w:hAnsiTheme="minorHAnsi"/>
          <w:lang w:val="de-DE"/>
        </w:rPr>
        <w:t xml:space="preserve"> </w:t>
      </w:r>
      <w:r w:rsidR="003F62FC" w:rsidRPr="008714FE">
        <w:rPr>
          <w:rFonts w:asciiTheme="minorHAnsi" w:hAnsiTheme="minorHAnsi"/>
          <w:lang w:val="de-DE"/>
        </w:rPr>
        <w:t>Hinweis</w:t>
      </w:r>
      <w:r w:rsidRPr="008714FE">
        <w:rPr>
          <w:rFonts w:asciiTheme="minorHAnsi" w:hAnsiTheme="minorHAnsi"/>
          <w:lang w:val="de-DE"/>
        </w:rPr>
        <w:t>e</w:t>
      </w:r>
      <w:r w:rsidR="008F02B9" w:rsidRPr="008714FE">
        <w:rPr>
          <w:rFonts w:asciiTheme="minorHAnsi" w:hAnsiTheme="minorHAnsi"/>
          <w:lang w:val="de-DE"/>
        </w:rPr>
        <w:t xml:space="preserve"> </w:t>
      </w:r>
      <w:r w:rsidR="00484803">
        <w:rPr>
          <w:rFonts w:asciiTheme="minorHAnsi" w:hAnsiTheme="minorHAnsi"/>
          <w:lang w:val="de-DE"/>
        </w:rPr>
        <w:t>2016</w:t>
      </w:r>
    </w:p>
    <w:bookmarkStart w:id="1" w:name="_Toc311393058"/>
    <w:p w14:paraId="7589821D" w14:textId="77777777" w:rsidR="00853A29" w:rsidRPr="00853A29" w:rsidRDefault="006A2EFC">
      <w:pPr>
        <w:pStyle w:val="TOC1"/>
        <w:rPr>
          <w:rFonts w:asciiTheme="minorHAnsi" w:hAnsiTheme="minorHAnsi"/>
          <w:b w:val="0"/>
          <w:color w:val="auto"/>
          <w:lang w:val="de-DE" w:eastAsia="de-DE"/>
        </w:rPr>
      </w:pPr>
      <w:r w:rsidRPr="00853A29">
        <w:rPr>
          <w:rFonts w:asciiTheme="minorHAnsi" w:hAnsiTheme="minorHAnsi"/>
          <w:sz w:val="24"/>
          <w:szCs w:val="24"/>
        </w:rPr>
        <w:fldChar w:fldCharType="begin"/>
      </w:r>
      <w:r w:rsidRPr="00853A29">
        <w:rPr>
          <w:rFonts w:asciiTheme="minorHAnsi" w:hAnsiTheme="minorHAnsi"/>
          <w:lang w:val="de-DE"/>
        </w:rPr>
        <w:instrText xml:space="preserve"> TOC \o "1-3" </w:instrText>
      </w:r>
      <w:r w:rsidRPr="00853A29">
        <w:rPr>
          <w:rFonts w:asciiTheme="minorHAnsi" w:hAnsiTheme="minorHAnsi"/>
          <w:sz w:val="24"/>
          <w:szCs w:val="24"/>
        </w:rPr>
        <w:fldChar w:fldCharType="separate"/>
      </w:r>
      <w:r w:rsidR="00853A29" w:rsidRPr="00853A29">
        <w:rPr>
          <w:rFonts w:asciiTheme="minorHAnsi" w:hAnsiTheme="minorHAnsi"/>
          <w:lang w:val="de-DE"/>
        </w:rPr>
        <w:t>1.</w:t>
      </w:r>
      <w:r w:rsidR="00853A29" w:rsidRPr="00853A29">
        <w:rPr>
          <w:rFonts w:asciiTheme="minorHAnsi" w:hAnsiTheme="minorHAnsi"/>
          <w:b w:val="0"/>
          <w:color w:val="auto"/>
          <w:lang w:val="de-DE" w:eastAsia="de-DE"/>
        </w:rPr>
        <w:tab/>
      </w:r>
      <w:r w:rsidR="00853A29" w:rsidRPr="00853A29">
        <w:rPr>
          <w:rFonts w:asciiTheme="minorHAnsi" w:hAnsiTheme="minorHAnsi"/>
          <w:lang w:val="de-DE"/>
        </w:rPr>
        <w:t>Allgemeine Einleitung</w:t>
      </w:r>
      <w:r w:rsidR="00853A29" w:rsidRPr="00853A29">
        <w:rPr>
          <w:lang w:val="de-DE"/>
        </w:rPr>
        <w:tab/>
      </w:r>
      <w:r w:rsidR="00853A29" w:rsidRPr="00853A29">
        <w:fldChar w:fldCharType="begin"/>
      </w:r>
      <w:r w:rsidR="00853A29" w:rsidRPr="00853A29">
        <w:rPr>
          <w:lang w:val="de-DE"/>
        </w:rPr>
        <w:instrText xml:space="preserve"> PAGEREF _Toc453080747 \h </w:instrText>
      </w:r>
      <w:r w:rsidR="00853A29" w:rsidRPr="00853A29">
        <w:fldChar w:fldCharType="separate"/>
      </w:r>
      <w:r w:rsidR="00C97D80">
        <w:rPr>
          <w:lang w:val="de-DE"/>
        </w:rPr>
        <w:t>3</w:t>
      </w:r>
      <w:r w:rsidR="00853A29" w:rsidRPr="00853A29">
        <w:fldChar w:fldCharType="end"/>
      </w:r>
    </w:p>
    <w:p w14:paraId="37518D58" w14:textId="77777777" w:rsidR="00853A29" w:rsidRPr="00853A29" w:rsidRDefault="00853A29">
      <w:pPr>
        <w:pStyle w:val="TOC1"/>
        <w:rPr>
          <w:rFonts w:asciiTheme="minorHAnsi" w:hAnsiTheme="minorHAnsi"/>
          <w:b w:val="0"/>
          <w:color w:val="auto"/>
          <w:lang w:val="de-DE" w:eastAsia="de-DE"/>
        </w:rPr>
      </w:pPr>
      <w:r w:rsidRPr="00853A29">
        <w:rPr>
          <w:rFonts w:asciiTheme="minorHAnsi" w:hAnsiTheme="minorHAnsi"/>
          <w:lang w:val="de-DE"/>
        </w:rPr>
        <w:t>2.</w:t>
      </w:r>
      <w:r w:rsidRPr="00853A29">
        <w:rPr>
          <w:rFonts w:asciiTheme="minorHAnsi" w:hAnsiTheme="minorHAnsi"/>
          <w:b w:val="0"/>
          <w:color w:val="auto"/>
          <w:lang w:val="de-DE" w:eastAsia="de-DE"/>
        </w:rPr>
        <w:tab/>
      </w:r>
      <w:r w:rsidRPr="00853A29">
        <w:rPr>
          <w:rFonts w:asciiTheme="minorHAnsi" w:hAnsiTheme="minorHAnsi"/>
          <w:lang w:val="de-DE"/>
        </w:rPr>
        <w:t>Umfang der Offenlegung</w:t>
      </w:r>
      <w:r w:rsidRPr="00853A29">
        <w:rPr>
          <w:lang w:val="de-DE"/>
        </w:rPr>
        <w:tab/>
      </w:r>
      <w:r w:rsidRPr="00853A29">
        <w:fldChar w:fldCharType="begin"/>
      </w:r>
      <w:r w:rsidRPr="00853A29">
        <w:rPr>
          <w:lang w:val="de-DE"/>
        </w:rPr>
        <w:instrText xml:space="preserve"> PAGEREF _Toc453080748 \h </w:instrText>
      </w:r>
      <w:r w:rsidRPr="00853A29">
        <w:fldChar w:fldCharType="separate"/>
      </w:r>
      <w:r w:rsidR="00C97D80">
        <w:rPr>
          <w:lang w:val="de-DE"/>
        </w:rPr>
        <w:t>3</w:t>
      </w:r>
      <w:r w:rsidRPr="00853A29">
        <w:fldChar w:fldCharType="end"/>
      </w:r>
    </w:p>
    <w:p w14:paraId="4EA837B8" w14:textId="33613AFF" w:rsidR="00853A29" w:rsidRPr="00853A29" w:rsidRDefault="00902298">
      <w:pPr>
        <w:pStyle w:val="TOC2"/>
        <w:rPr>
          <w:noProof/>
          <w:lang w:val="de-DE" w:eastAsia="de-DE"/>
        </w:rPr>
      </w:pPr>
      <w:r>
        <w:rPr>
          <w:noProof/>
          <w:lang w:val="de-DE"/>
        </w:rPr>
        <w:t>2.1</w:t>
      </w:r>
      <w:r w:rsidR="00853A29" w:rsidRPr="00853A29">
        <w:rPr>
          <w:noProof/>
          <w:lang w:val="de-DE" w:eastAsia="de-DE"/>
        </w:rPr>
        <w:tab/>
      </w:r>
      <w:r w:rsidR="00853A29" w:rsidRPr="00853A29">
        <w:rPr>
          <w:noProof/>
          <w:lang w:val="de-DE"/>
        </w:rPr>
        <w:t>Umfang bzw. Geltungsbereich in Bezug auf den Empfängerkreis</w:t>
      </w:r>
      <w:r w:rsidR="00853A29" w:rsidRPr="00853A29">
        <w:rPr>
          <w:noProof/>
          <w:lang w:val="de-DE"/>
        </w:rPr>
        <w:tab/>
      </w:r>
      <w:r w:rsidR="00853A29" w:rsidRPr="00853A29">
        <w:rPr>
          <w:noProof/>
        </w:rPr>
        <w:fldChar w:fldCharType="begin"/>
      </w:r>
      <w:r w:rsidR="00853A29" w:rsidRPr="00853A29">
        <w:rPr>
          <w:noProof/>
          <w:lang w:val="de-DE"/>
        </w:rPr>
        <w:instrText xml:space="preserve"> PAGEREF _Toc453080749 \h </w:instrText>
      </w:r>
      <w:r w:rsidR="00853A29" w:rsidRPr="00853A29">
        <w:rPr>
          <w:noProof/>
        </w:rPr>
      </w:r>
      <w:r w:rsidR="00853A29" w:rsidRPr="00853A29">
        <w:rPr>
          <w:noProof/>
        </w:rPr>
        <w:fldChar w:fldCharType="separate"/>
      </w:r>
      <w:r w:rsidR="00C97D80">
        <w:rPr>
          <w:noProof/>
          <w:lang w:val="de-DE"/>
        </w:rPr>
        <w:t>3</w:t>
      </w:r>
      <w:r w:rsidR="00853A29" w:rsidRPr="00853A29">
        <w:rPr>
          <w:noProof/>
        </w:rPr>
        <w:fldChar w:fldCharType="end"/>
      </w:r>
    </w:p>
    <w:p w14:paraId="266E6403" w14:textId="71CDA6AF" w:rsidR="00853A29" w:rsidRPr="00853A29" w:rsidRDefault="00902298" w:rsidP="00853A29">
      <w:pPr>
        <w:pStyle w:val="TOC3"/>
        <w:rPr>
          <w:noProof/>
          <w:lang w:val="de-DE" w:eastAsia="de-DE"/>
        </w:rPr>
      </w:pPr>
      <w:r>
        <w:rPr>
          <w:noProof/>
          <w:lang w:val="de-DE"/>
        </w:rPr>
        <w:t>2.1.1</w:t>
      </w:r>
      <w:r w:rsidR="00853A29" w:rsidRPr="00853A29">
        <w:rPr>
          <w:noProof/>
          <w:lang w:val="de-DE" w:eastAsia="de-DE"/>
        </w:rPr>
        <w:tab/>
      </w:r>
      <w:r w:rsidR="00853A29" w:rsidRPr="00853A29">
        <w:rPr>
          <w:noProof/>
          <w:lang w:val="de-DE"/>
        </w:rPr>
        <w:t>Fachkreisangehöriger: Definition und Geltungsbereic</w:t>
      </w:r>
      <w:r w:rsidR="00853A29">
        <w:rPr>
          <w:noProof/>
          <w:lang w:val="de-DE"/>
        </w:rPr>
        <w:t xml:space="preserve">h………………………………… </w:t>
      </w:r>
      <w:r w:rsidR="00853A29" w:rsidRPr="00853A29">
        <w:rPr>
          <w:noProof/>
        </w:rPr>
        <w:fldChar w:fldCharType="begin"/>
      </w:r>
      <w:r w:rsidR="00853A29" w:rsidRPr="00853A29">
        <w:rPr>
          <w:noProof/>
          <w:lang w:val="de-DE"/>
        </w:rPr>
        <w:instrText xml:space="preserve"> PAGEREF _Toc453080750 \h </w:instrText>
      </w:r>
      <w:r w:rsidR="00853A29" w:rsidRPr="00853A29">
        <w:rPr>
          <w:noProof/>
        </w:rPr>
      </w:r>
      <w:r w:rsidR="00853A29" w:rsidRPr="00853A29">
        <w:rPr>
          <w:noProof/>
        </w:rPr>
        <w:fldChar w:fldCharType="separate"/>
      </w:r>
      <w:r w:rsidR="00C97D80">
        <w:rPr>
          <w:noProof/>
          <w:lang w:val="de-DE"/>
        </w:rPr>
        <w:t>3</w:t>
      </w:r>
      <w:r w:rsidR="00853A29" w:rsidRPr="00853A29">
        <w:rPr>
          <w:noProof/>
        </w:rPr>
        <w:fldChar w:fldCharType="end"/>
      </w:r>
    </w:p>
    <w:p w14:paraId="73FF9C95" w14:textId="53756893" w:rsidR="00853A29" w:rsidRPr="00853A29" w:rsidRDefault="00902298" w:rsidP="00853A29">
      <w:pPr>
        <w:pStyle w:val="TOC3"/>
        <w:rPr>
          <w:noProof/>
          <w:lang w:val="de-DE" w:eastAsia="de-DE"/>
        </w:rPr>
      </w:pPr>
      <w:r>
        <w:rPr>
          <w:noProof/>
          <w:lang w:val="de-DE"/>
        </w:rPr>
        <w:t>2.1.2</w:t>
      </w:r>
      <w:r w:rsidR="00853A29" w:rsidRPr="00853A29">
        <w:rPr>
          <w:noProof/>
          <w:lang w:val="de-DE" w:eastAsia="de-DE"/>
        </w:rPr>
        <w:tab/>
      </w:r>
      <w:r w:rsidR="00853A29" w:rsidRPr="00853A29">
        <w:rPr>
          <w:noProof/>
          <w:lang w:val="de-DE"/>
        </w:rPr>
        <w:t xml:space="preserve">Gesundheitsorganisationen: Definition und Geltungsbereich………………………… </w:t>
      </w:r>
      <w:r w:rsidR="00853A29" w:rsidRPr="00853A29">
        <w:rPr>
          <w:noProof/>
        </w:rPr>
        <w:fldChar w:fldCharType="begin"/>
      </w:r>
      <w:r w:rsidR="00853A29" w:rsidRPr="00853A29">
        <w:rPr>
          <w:noProof/>
          <w:lang w:val="de-DE"/>
        </w:rPr>
        <w:instrText xml:space="preserve"> PAGEREF _Toc453080751 \h </w:instrText>
      </w:r>
      <w:r w:rsidR="00853A29" w:rsidRPr="00853A29">
        <w:rPr>
          <w:noProof/>
        </w:rPr>
      </w:r>
      <w:r w:rsidR="00853A29" w:rsidRPr="00853A29">
        <w:rPr>
          <w:noProof/>
        </w:rPr>
        <w:fldChar w:fldCharType="separate"/>
      </w:r>
      <w:r w:rsidR="00C97D80">
        <w:rPr>
          <w:noProof/>
          <w:lang w:val="de-DE"/>
        </w:rPr>
        <w:t>4</w:t>
      </w:r>
      <w:r w:rsidR="00853A29" w:rsidRPr="00853A29">
        <w:rPr>
          <w:noProof/>
        </w:rPr>
        <w:fldChar w:fldCharType="end"/>
      </w:r>
    </w:p>
    <w:p w14:paraId="3026E3A3" w14:textId="6FF94E62" w:rsidR="00853A29" w:rsidRPr="00853A29" w:rsidRDefault="00902298" w:rsidP="00853A29">
      <w:pPr>
        <w:pStyle w:val="TOC3"/>
        <w:rPr>
          <w:noProof/>
          <w:lang w:val="de-DE" w:eastAsia="de-DE"/>
        </w:rPr>
      </w:pPr>
      <w:r>
        <w:rPr>
          <w:noProof/>
          <w:lang w:val="de-DE"/>
        </w:rPr>
        <w:t>2.1.3</w:t>
      </w:r>
      <w:r w:rsidR="00853A29" w:rsidRPr="00853A29">
        <w:rPr>
          <w:noProof/>
          <w:lang w:val="de-DE" w:eastAsia="de-DE"/>
        </w:rPr>
        <w:tab/>
      </w:r>
      <w:r w:rsidR="00853A29" w:rsidRPr="00853A29">
        <w:rPr>
          <w:noProof/>
          <w:lang w:val="de-DE"/>
        </w:rPr>
        <w:t xml:space="preserve">Unternehmen im Besitz eines Fachkreisangehörigen……………………………………. </w:t>
      </w:r>
      <w:r w:rsidR="00853A29" w:rsidRPr="00853A29">
        <w:rPr>
          <w:noProof/>
        </w:rPr>
        <w:fldChar w:fldCharType="begin"/>
      </w:r>
      <w:r w:rsidR="00853A29" w:rsidRPr="00853A29">
        <w:rPr>
          <w:noProof/>
          <w:lang w:val="de-DE"/>
        </w:rPr>
        <w:instrText xml:space="preserve"> PAGEREF _Toc453080752 \h </w:instrText>
      </w:r>
      <w:r w:rsidR="00853A29" w:rsidRPr="00853A29">
        <w:rPr>
          <w:noProof/>
        </w:rPr>
      </w:r>
      <w:r w:rsidR="00853A29" w:rsidRPr="00853A29">
        <w:rPr>
          <w:noProof/>
        </w:rPr>
        <w:fldChar w:fldCharType="separate"/>
      </w:r>
      <w:r w:rsidR="00C97D80">
        <w:rPr>
          <w:noProof/>
          <w:lang w:val="de-DE"/>
        </w:rPr>
        <w:t>4</w:t>
      </w:r>
      <w:r w:rsidR="00853A29" w:rsidRPr="00853A29">
        <w:rPr>
          <w:noProof/>
        </w:rPr>
        <w:fldChar w:fldCharType="end"/>
      </w:r>
    </w:p>
    <w:p w14:paraId="5EF7A015" w14:textId="3B380534" w:rsidR="00853A29" w:rsidRPr="00853A29" w:rsidRDefault="00902298" w:rsidP="00853A29">
      <w:pPr>
        <w:pStyle w:val="TOC3"/>
        <w:rPr>
          <w:noProof/>
          <w:lang w:val="de-DE" w:eastAsia="de-DE"/>
        </w:rPr>
      </w:pPr>
      <w:r>
        <w:rPr>
          <w:noProof/>
          <w:lang w:val="de-DE"/>
        </w:rPr>
        <w:t>2.1.4</w:t>
      </w:r>
      <w:r w:rsidR="00853A29" w:rsidRPr="00853A29">
        <w:rPr>
          <w:noProof/>
          <w:lang w:val="de-DE" w:eastAsia="de-DE"/>
        </w:rPr>
        <w:tab/>
      </w:r>
      <w:r w:rsidR="00853A29" w:rsidRPr="00853A29">
        <w:rPr>
          <w:noProof/>
          <w:lang w:val="de-DE"/>
        </w:rPr>
        <w:t xml:space="preserve">Eindeutig identifizierbarer Empfänger………………………………………………………… </w:t>
      </w:r>
      <w:r w:rsidR="00853A29" w:rsidRPr="00853A29">
        <w:rPr>
          <w:noProof/>
        </w:rPr>
        <w:fldChar w:fldCharType="begin"/>
      </w:r>
      <w:r w:rsidR="00853A29" w:rsidRPr="00853A29">
        <w:rPr>
          <w:noProof/>
          <w:lang w:val="de-DE"/>
        </w:rPr>
        <w:instrText xml:space="preserve"> PAGEREF _Toc453080753 \h </w:instrText>
      </w:r>
      <w:r w:rsidR="00853A29" w:rsidRPr="00853A29">
        <w:rPr>
          <w:noProof/>
        </w:rPr>
      </w:r>
      <w:r w:rsidR="00853A29" w:rsidRPr="00853A29">
        <w:rPr>
          <w:noProof/>
        </w:rPr>
        <w:fldChar w:fldCharType="separate"/>
      </w:r>
      <w:r w:rsidR="00C97D80">
        <w:rPr>
          <w:noProof/>
          <w:lang w:val="de-DE"/>
        </w:rPr>
        <w:t>4</w:t>
      </w:r>
      <w:r w:rsidR="00853A29" w:rsidRPr="00853A29">
        <w:rPr>
          <w:noProof/>
        </w:rPr>
        <w:fldChar w:fldCharType="end"/>
      </w:r>
    </w:p>
    <w:p w14:paraId="5CC5247D" w14:textId="18B2ECD7" w:rsidR="00853A29" w:rsidRPr="00853A29" w:rsidRDefault="00902298">
      <w:pPr>
        <w:pStyle w:val="TOC2"/>
        <w:rPr>
          <w:noProof/>
          <w:lang w:val="de-DE" w:eastAsia="de-DE"/>
        </w:rPr>
      </w:pPr>
      <w:r>
        <w:rPr>
          <w:noProof/>
          <w:lang w:val="de-DE"/>
        </w:rPr>
        <w:t>2.2</w:t>
      </w:r>
      <w:r w:rsidR="00853A29" w:rsidRPr="00853A29">
        <w:rPr>
          <w:noProof/>
          <w:lang w:val="de-DE" w:eastAsia="de-DE"/>
        </w:rPr>
        <w:tab/>
      </w:r>
      <w:r w:rsidR="00853A29" w:rsidRPr="00853A29">
        <w:rPr>
          <w:noProof/>
          <w:lang w:val="de-DE"/>
        </w:rPr>
        <w:t>Medizinischer Geltungsbereich</w:t>
      </w:r>
      <w:r w:rsidR="00853A29" w:rsidRPr="00853A29">
        <w:rPr>
          <w:noProof/>
          <w:lang w:val="de-DE"/>
        </w:rPr>
        <w:tab/>
      </w:r>
      <w:r w:rsidR="00853A29" w:rsidRPr="00853A29">
        <w:rPr>
          <w:noProof/>
        </w:rPr>
        <w:fldChar w:fldCharType="begin"/>
      </w:r>
      <w:r w:rsidR="00853A29" w:rsidRPr="00853A29">
        <w:rPr>
          <w:noProof/>
          <w:lang w:val="de-DE"/>
        </w:rPr>
        <w:instrText xml:space="preserve"> PAGEREF _Toc453080754 \h </w:instrText>
      </w:r>
      <w:r w:rsidR="00853A29" w:rsidRPr="00853A29">
        <w:rPr>
          <w:noProof/>
        </w:rPr>
      </w:r>
      <w:r w:rsidR="00853A29" w:rsidRPr="00853A29">
        <w:rPr>
          <w:noProof/>
        </w:rPr>
        <w:fldChar w:fldCharType="separate"/>
      </w:r>
      <w:r w:rsidR="00C97D80">
        <w:rPr>
          <w:noProof/>
          <w:lang w:val="de-DE"/>
        </w:rPr>
        <w:t>4</w:t>
      </w:r>
      <w:r w:rsidR="00853A29" w:rsidRPr="00853A29">
        <w:rPr>
          <w:noProof/>
        </w:rPr>
        <w:fldChar w:fldCharType="end"/>
      </w:r>
    </w:p>
    <w:p w14:paraId="1215A79B" w14:textId="374A0293" w:rsidR="00853A29" w:rsidRPr="00853A29" w:rsidRDefault="00902298">
      <w:pPr>
        <w:pStyle w:val="TOC2"/>
        <w:rPr>
          <w:noProof/>
          <w:lang w:val="de-DE" w:eastAsia="de-DE"/>
        </w:rPr>
      </w:pPr>
      <w:r>
        <w:rPr>
          <w:noProof/>
          <w:lang w:val="de-DE"/>
        </w:rPr>
        <w:t>2.3</w:t>
      </w:r>
      <w:r w:rsidR="00853A29" w:rsidRPr="00853A29">
        <w:rPr>
          <w:noProof/>
          <w:lang w:val="de-DE" w:eastAsia="de-DE"/>
        </w:rPr>
        <w:tab/>
      </w:r>
      <w:r w:rsidR="00853A29" w:rsidRPr="00853A29">
        <w:rPr>
          <w:noProof/>
          <w:lang w:val="de-DE"/>
        </w:rPr>
        <w:t>Geltungsbereich hinsichtlich der Aktivitäten</w:t>
      </w:r>
      <w:r w:rsidR="00853A29" w:rsidRPr="00853A29">
        <w:rPr>
          <w:noProof/>
          <w:lang w:val="de-DE"/>
        </w:rPr>
        <w:tab/>
      </w:r>
      <w:r w:rsidR="00853A29" w:rsidRPr="00853A29">
        <w:rPr>
          <w:noProof/>
        </w:rPr>
        <w:fldChar w:fldCharType="begin"/>
      </w:r>
      <w:r w:rsidR="00853A29" w:rsidRPr="00853A29">
        <w:rPr>
          <w:noProof/>
          <w:lang w:val="de-DE"/>
        </w:rPr>
        <w:instrText xml:space="preserve"> PAGEREF _Toc453080755 \h </w:instrText>
      </w:r>
      <w:r w:rsidR="00853A29" w:rsidRPr="00853A29">
        <w:rPr>
          <w:noProof/>
        </w:rPr>
      </w:r>
      <w:r w:rsidR="00853A29" w:rsidRPr="00853A29">
        <w:rPr>
          <w:noProof/>
        </w:rPr>
        <w:fldChar w:fldCharType="separate"/>
      </w:r>
      <w:r w:rsidR="00C97D80">
        <w:rPr>
          <w:noProof/>
          <w:lang w:val="de-DE"/>
        </w:rPr>
        <w:t>4</w:t>
      </w:r>
      <w:r w:rsidR="00853A29" w:rsidRPr="00853A29">
        <w:rPr>
          <w:noProof/>
        </w:rPr>
        <w:fldChar w:fldCharType="end"/>
      </w:r>
    </w:p>
    <w:p w14:paraId="63CB90C4" w14:textId="0C995C86" w:rsidR="00853A29" w:rsidRPr="00853A29" w:rsidRDefault="00853A29" w:rsidP="00853A29">
      <w:pPr>
        <w:pStyle w:val="TOC3"/>
        <w:rPr>
          <w:noProof/>
          <w:lang w:val="de-DE" w:eastAsia="de-DE"/>
        </w:rPr>
      </w:pPr>
      <w:r w:rsidRPr="00853A29">
        <w:rPr>
          <w:noProof/>
          <w:lang w:val="de-DE"/>
        </w:rPr>
        <w:t>2.3.1</w:t>
      </w:r>
      <w:r w:rsidRPr="00853A29">
        <w:rPr>
          <w:noProof/>
          <w:lang w:val="de-DE" w:eastAsia="de-DE"/>
        </w:rPr>
        <w:tab/>
      </w:r>
      <w:r w:rsidRPr="00853A29">
        <w:rPr>
          <w:noProof/>
          <w:lang w:val="de-DE"/>
        </w:rPr>
        <w:t xml:space="preserve">Spenden und </w:t>
      </w:r>
      <w:r w:rsidR="006619B0">
        <w:rPr>
          <w:noProof/>
          <w:lang w:val="de-DE"/>
        </w:rPr>
        <w:t>Leistungen</w:t>
      </w:r>
      <w:r w:rsidRPr="00853A29">
        <w:rPr>
          <w:noProof/>
          <w:lang w:val="de-DE"/>
        </w:rPr>
        <w:t xml:space="preserve"> an Gesundheitsorganisationen (HCO)………………</w:t>
      </w:r>
      <w:r w:rsidR="00CE7666">
        <w:rPr>
          <w:noProof/>
          <w:lang w:val="de-DE"/>
        </w:rPr>
        <w:t>…….</w:t>
      </w:r>
      <w:r w:rsidRPr="00853A29">
        <w:rPr>
          <w:noProof/>
          <w:lang w:val="de-DE"/>
        </w:rPr>
        <w:t xml:space="preserve"> </w:t>
      </w:r>
      <w:r w:rsidRPr="00853A29">
        <w:rPr>
          <w:noProof/>
        </w:rPr>
        <w:fldChar w:fldCharType="begin"/>
      </w:r>
      <w:r w:rsidRPr="00853A29">
        <w:rPr>
          <w:noProof/>
          <w:lang w:val="de-DE"/>
        </w:rPr>
        <w:instrText xml:space="preserve"> PAGEREF _Toc453080756 \h </w:instrText>
      </w:r>
      <w:r w:rsidRPr="00853A29">
        <w:rPr>
          <w:noProof/>
        </w:rPr>
      </w:r>
      <w:r w:rsidRPr="00853A29">
        <w:rPr>
          <w:noProof/>
        </w:rPr>
        <w:fldChar w:fldCharType="separate"/>
      </w:r>
      <w:r w:rsidR="00C97D80">
        <w:rPr>
          <w:noProof/>
          <w:lang w:val="de-DE"/>
        </w:rPr>
        <w:t>4</w:t>
      </w:r>
      <w:r w:rsidRPr="00853A29">
        <w:rPr>
          <w:noProof/>
        </w:rPr>
        <w:fldChar w:fldCharType="end"/>
      </w:r>
    </w:p>
    <w:p w14:paraId="137D9688" w14:textId="50033F24" w:rsidR="00853A29" w:rsidRPr="00853A29" w:rsidRDefault="00853A29" w:rsidP="00853A29">
      <w:pPr>
        <w:pStyle w:val="TOC3"/>
        <w:rPr>
          <w:noProof/>
          <w:lang w:val="de-DE" w:eastAsia="de-DE"/>
        </w:rPr>
      </w:pPr>
      <w:r w:rsidRPr="00853A29">
        <w:rPr>
          <w:noProof/>
          <w:lang w:val="de-DE"/>
        </w:rPr>
        <w:t>2.3.2</w:t>
      </w:r>
      <w:r w:rsidRPr="00853A29">
        <w:rPr>
          <w:noProof/>
          <w:lang w:val="de-DE" w:eastAsia="de-DE"/>
        </w:rPr>
        <w:tab/>
      </w:r>
      <w:r w:rsidRPr="00853A29">
        <w:rPr>
          <w:noProof/>
          <w:lang w:val="de-DE"/>
        </w:rPr>
        <w:t xml:space="preserve">Zuschüsse zu Veranstaltungskosten……………………………………………………………..  </w:t>
      </w:r>
      <w:r w:rsidRPr="00853A29">
        <w:rPr>
          <w:noProof/>
        </w:rPr>
        <w:fldChar w:fldCharType="begin"/>
      </w:r>
      <w:r w:rsidRPr="00853A29">
        <w:rPr>
          <w:noProof/>
          <w:lang w:val="de-DE"/>
        </w:rPr>
        <w:instrText xml:space="preserve"> PAGEREF _Toc453080757 \h </w:instrText>
      </w:r>
      <w:r w:rsidRPr="00853A29">
        <w:rPr>
          <w:noProof/>
        </w:rPr>
      </w:r>
      <w:r w:rsidRPr="00853A29">
        <w:rPr>
          <w:noProof/>
        </w:rPr>
        <w:fldChar w:fldCharType="separate"/>
      </w:r>
      <w:r w:rsidR="00C97D80">
        <w:rPr>
          <w:noProof/>
          <w:lang w:val="de-DE"/>
        </w:rPr>
        <w:t>5</w:t>
      </w:r>
      <w:r w:rsidRPr="00853A29">
        <w:rPr>
          <w:noProof/>
        </w:rPr>
        <w:fldChar w:fldCharType="end"/>
      </w:r>
    </w:p>
    <w:p w14:paraId="5404A563" w14:textId="0CA9E488" w:rsidR="00853A29" w:rsidRPr="00853A29" w:rsidRDefault="00853A29" w:rsidP="00853A29">
      <w:pPr>
        <w:pStyle w:val="TOC3"/>
        <w:rPr>
          <w:noProof/>
          <w:lang w:val="de-DE" w:eastAsia="de-DE"/>
        </w:rPr>
      </w:pPr>
      <w:r w:rsidRPr="00853A29">
        <w:rPr>
          <w:noProof/>
          <w:lang w:val="de-DE"/>
        </w:rPr>
        <w:t>2.3.3</w:t>
      </w:r>
      <w:r w:rsidRPr="00853A29">
        <w:rPr>
          <w:noProof/>
          <w:lang w:val="de-DE" w:eastAsia="de-DE"/>
        </w:rPr>
        <w:tab/>
      </w:r>
      <w:r w:rsidRPr="00853A29">
        <w:rPr>
          <w:noProof/>
          <w:lang w:val="de-DE"/>
        </w:rPr>
        <w:t xml:space="preserve">Dienstleistungs- und Beratungshonorare……………………………………………………..  </w:t>
      </w:r>
      <w:r w:rsidRPr="00853A29">
        <w:rPr>
          <w:noProof/>
        </w:rPr>
        <w:fldChar w:fldCharType="begin"/>
      </w:r>
      <w:r w:rsidRPr="00853A29">
        <w:rPr>
          <w:noProof/>
          <w:lang w:val="de-DE"/>
        </w:rPr>
        <w:instrText xml:space="preserve"> PAGEREF _Toc453080758 \h </w:instrText>
      </w:r>
      <w:r w:rsidRPr="00853A29">
        <w:rPr>
          <w:noProof/>
        </w:rPr>
      </w:r>
      <w:r w:rsidRPr="00853A29">
        <w:rPr>
          <w:noProof/>
        </w:rPr>
        <w:fldChar w:fldCharType="separate"/>
      </w:r>
      <w:r w:rsidR="00C97D80">
        <w:rPr>
          <w:noProof/>
          <w:lang w:val="de-DE"/>
        </w:rPr>
        <w:t>6</w:t>
      </w:r>
      <w:r w:rsidRPr="00853A29">
        <w:rPr>
          <w:noProof/>
        </w:rPr>
        <w:fldChar w:fldCharType="end"/>
      </w:r>
    </w:p>
    <w:p w14:paraId="5149B9D4" w14:textId="248FEE87" w:rsidR="00853A29" w:rsidRPr="00853A29" w:rsidRDefault="00853A29" w:rsidP="00853A29">
      <w:pPr>
        <w:pStyle w:val="TOC3"/>
        <w:rPr>
          <w:noProof/>
          <w:lang w:val="de-DE" w:eastAsia="de-DE"/>
        </w:rPr>
      </w:pPr>
      <w:r w:rsidRPr="00853A29">
        <w:rPr>
          <w:noProof/>
          <w:lang w:val="de-DE"/>
        </w:rPr>
        <w:t>2.3.4</w:t>
      </w:r>
      <w:r w:rsidRPr="00853A29">
        <w:rPr>
          <w:noProof/>
          <w:lang w:val="de-DE" w:eastAsia="de-DE"/>
        </w:rPr>
        <w:tab/>
      </w:r>
      <w:r w:rsidRPr="00853A29">
        <w:rPr>
          <w:noProof/>
          <w:lang w:val="de-DE"/>
        </w:rPr>
        <w:t xml:space="preserve">Forschung  &amp; Entwicklung…………………………………………………………………………… </w:t>
      </w:r>
      <w:r w:rsidRPr="00853A29">
        <w:rPr>
          <w:noProof/>
        </w:rPr>
        <w:fldChar w:fldCharType="begin"/>
      </w:r>
      <w:r w:rsidRPr="00853A29">
        <w:rPr>
          <w:noProof/>
          <w:lang w:val="de-DE"/>
        </w:rPr>
        <w:instrText xml:space="preserve"> PAGEREF _Toc453080759 \h </w:instrText>
      </w:r>
      <w:r w:rsidRPr="00853A29">
        <w:rPr>
          <w:noProof/>
        </w:rPr>
      </w:r>
      <w:r w:rsidRPr="00853A29">
        <w:rPr>
          <w:noProof/>
        </w:rPr>
        <w:fldChar w:fldCharType="separate"/>
      </w:r>
      <w:r w:rsidR="00C97D80">
        <w:rPr>
          <w:noProof/>
          <w:lang w:val="de-DE"/>
        </w:rPr>
        <w:t>6</w:t>
      </w:r>
      <w:r w:rsidRPr="00853A29">
        <w:rPr>
          <w:noProof/>
        </w:rPr>
        <w:fldChar w:fldCharType="end"/>
      </w:r>
    </w:p>
    <w:p w14:paraId="146AE551" w14:textId="77777777" w:rsidR="00853A29" w:rsidRPr="00853A29" w:rsidRDefault="00853A29">
      <w:pPr>
        <w:pStyle w:val="TOC2"/>
        <w:rPr>
          <w:noProof/>
          <w:lang w:val="de-DE" w:eastAsia="de-DE"/>
        </w:rPr>
      </w:pPr>
      <w:r w:rsidRPr="00853A29">
        <w:rPr>
          <w:noProof/>
          <w:lang w:val="de-DE"/>
        </w:rPr>
        <w:t>2.4</w:t>
      </w:r>
      <w:r w:rsidRPr="00853A29">
        <w:rPr>
          <w:noProof/>
          <w:lang w:val="de-DE" w:eastAsia="de-DE"/>
        </w:rPr>
        <w:tab/>
      </w:r>
      <w:r w:rsidRPr="00853A29">
        <w:rPr>
          <w:noProof/>
          <w:lang w:val="de-DE"/>
        </w:rPr>
        <w:t>Wertübertragung bei grenzüberschreitenden Tätigkeiten</w:t>
      </w:r>
      <w:r w:rsidRPr="00853A29">
        <w:rPr>
          <w:noProof/>
          <w:lang w:val="de-DE"/>
        </w:rPr>
        <w:tab/>
      </w:r>
      <w:r w:rsidRPr="00853A29">
        <w:rPr>
          <w:noProof/>
        </w:rPr>
        <w:fldChar w:fldCharType="begin"/>
      </w:r>
      <w:r w:rsidRPr="00853A29">
        <w:rPr>
          <w:noProof/>
          <w:lang w:val="de-DE"/>
        </w:rPr>
        <w:instrText xml:space="preserve"> PAGEREF _Toc453080760 \h </w:instrText>
      </w:r>
      <w:r w:rsidRPr="00853A29">
        <w:rPr>
          <w:noProof/>
        </w:rPr>
      </w:r>
      <w:r w:rsidRPr="00853A29">
        <w:rPr>
          <w:noProof/>
        </w:rPr>
        <w:fldChar w:fldCharType="separate"/>
      </w:r>
      <w:r w:rsidR="00C97D80">
        <w:rPr>
          <w:noProof/>
          <w:lang w:val="de-DE"/>
        </w:rPr>
        <w:t>7</w:t>
      </w:r>
      <w:r w:rsidRPr="00853A29">
        <w:rPr>
          <w:noProof/>
        </w:rPr>
        <w:fldChar w:fldCharType="end"/>
      </w:r>
    </w:p>
    <w:p w14:paraId="63EC0C18" w14:textId="2D51A1D6" w:rsidR="00853A29" w:rsidRPr="00BE5F15" w:rsidRDefault="00853A29">
      <w:pPr>
        <w:pStyle w:val="TOC1"/>
        <w:rPr>
          <w:lang w:val="de-DE"/>
        </w:rPr>
      </w:pPr>
      <w:r w:rsidRPr="00853A29">
        <w:rPr>
          <w:rFonts w:asciiTheme="minorHAnsi" w:hAnsiTheme="minorHAnsi"/>
          <w:color w:val="4F81BD" w:themeColor="accent1"/>
          <w:lang w:val="de-DE"/>
        </w:rPr>
        <w:t>3</w:t>
      </w:r>
      <w:r w:rsidR="00902298">
        <w:rPr>
          <w:rFonts w:asciiTheme="minorHAnsi" w:hAnsiTheme="minorHAnsi"/>
          <w:color w:val="4F81BD" w:themeColor="accent1"/>
          <w:lang w:val="de-DE"/>
        </w:rPr>
        <w:t>.</w:t>
      </w:r>
      <w:r w:rsidRPr="00853A29">
        <w:rPr>
          <w:rFonts w:asciiTheme="minorHAnsi" w:hAnsiTheme="minorHAnsi"/>
          <w:b w:val="0"/>
          <w:color w:val="auto"/>
          <w:lang w:val="de-DE" w:eastAsia="de-DE"/>
        </w:rPr>
        <w:tab/>
      </w:r>
      <w:r w:rsidRPr="00853A29">
        <w:rPr>
          <w:rFonts w:asciiTheme="minorHAnsi" w:hAnsiTheme="minorHAnsi"/>
          <w:color w:val="4F81BD" w:themeColor="accent1"/>
          <w:lang w:val="de-DE"/>
        </w:rPr>
        <w:t>Datenschutzrechtliche Zustimmung zur Offenlegung und Gesamtbetrag</w:t>
      </w:r>
      <w:r w:rsidRPr="00853A29">
        <w:rPr>
          <w:lang w:val="de-DE"/>
        </w:rPr>
        <w:tab/>
      </w:r>
      <w:r w:rsidRPr="00853A29">
        <w:fldChar w:fldCharType="begin"/>
      </w:r>
      <w:r w:rsidRPr="00853A29">
        <w:rPr>
          <w:lang w:val="de-DE"/>
        </w:rPr>
        <w:instrText xml:space="preserve"> PAGEREF _Toc453080761 \h </w:instrText>
      </w:r>
      <w:r w:rsidRPr="00853A29">
        <w:fldChar w:fldCharType="separate"/>
      </w:r>
      <w:r w:rsidR="00C97D80">
        <w:rPr>
          <w:lang w:val="de-DE"/>
        </w:rPr>
        <w:t>8</w:t>
      </w:r>
      <w:r w:rsidRPr="00853A29">
        <w:fldChar w:fldCharType="end"/>
      </w:r>
    </w:p>
    <w:p w14:paraId="6535353E" w14:textId="0B70804F" w:rsidR="00902298" w:rsidRPr="00902298" w:rsidRDefault="00902298" w:rsidP="00902298">
      <w:pPr>
        <w:pStyle w:val="TOC1"/>
        <w:rPr>
          <w:lang w:val="de-DE"/>
        </w:rPr>
      </w:pPr>
      <w:r>
        <w:rPr>
          <w:rFonts w:asciiTheme="minorHAnsi" w:hAnsiTheme="minorHAnsi"/>
          <w:color w:val="4F81BD" w:themeColor="accent1"/>
          <w:lang w:val="de-DE"/>
        </w:rPr>
        <w:t>4.</w:t>
      </w:r>
      <w:r w:rsidRPr="00853A29">
        <w:rPr>
          <w:rFonts w:asciiTheme="minorHAnsi" w:hAnsiTheme="minorHAnsi"/>
          <w:b w:val="0"/>
          <w:color w:val="auto"/>
          <w:lang w:val="de-DE" w:eastAsia="de-DE"/>
        </w:rPr>
        <w:tab/>
      </w:r>
      <w:r w:rsidRPr="00902298">
        <w:rPr>
          <w:rFonts w:asciiTheme="minorHAnsi" w:hAnsiTheme="minorHAnsi"/>
          <w:color w:val="4F81BD" w:themeColor="accent1"/>
          <w:lang w:val="de-DE"/>
        </w:rPr>
        <w:t>Arbeitshypothesen</w:t>
      </w:r>
      <w:r w:rsidRPr="00853A29">
        <w:rPr>
          <w:lang w:val="de-DE"/>
        </w:rPr>
        <w:tab/>
      </w:r>
      <w:r w:rsidRPr="00BE5F15">
        <w:rPr>
          <w:lang w:val="de-DE"/>
        </w:rPr>
        <w:t>8</w:t>
      </w:r>
    </w:p>
    <w:p w14:paraId="7198F358" w14:textId="77777777" w:rsidR="00853A29" w:rsidRPr="00853A29" w:rsidRDefault="00853A29">
      <w:pPr>
        <w:pStyle w:val="TOC1"/>
        <w:rPr>
          <w:rFonts w:asciiTheme="minorHAnsi" w:hAnsiTheme="minorHAnsi"/>
          <w:b w:val="0"/>
          <w:color w:val="auto"/>
          <w:lang w:val="de-DE"/>
        </w:rPr>
      </w:pPr>
      <w:r w:rsidRPr="00902298">
        <w:rPr>
          <w:rFonts w:asciiTheme="minorHAnsi" w:hAnsiTheme="minorHAnsi"/>
          <w:b w:val="0"/>
          <w:color w:val="auto"/>
          <w:lang w:val="de-DE"/>
        </w:rPr>
        <w:t>4.1 Datum der Wertübertragung</w:t>
      </w:r>
      <w:r w:rsidRPr="00902298">
        <w:rPr>
          <w:rFonts w:asciiTheme="minorHAnsi" w:hAnsiTheme="minorHAnsi"/>
          <w:b w:val="0"/>
          <w:color w:val="auto"/>
          <w:lang w:val="de-DE"/>
        </w:rPr>
        <w:tab/>
      </w:r>
      <w:r w:rsidRPr="00902298">
        <w:rPr>
          <w:rFonts w:asciiTheme="minorHAnsi" w:hAnsiTheme="minorHAnsi"/>
          <w:b w:val="0"/>
          <w:color w:val="auto"/>
          <w:lang w:val="de-DE"/>
        </w:rPr>
        <w:fldChar w:fldCharType="begin"/>
      </w:r>
      <w:r w:rsidRPr="00902298">
        <w:rPr>
          <w:rFonts w:asciiTheme="minorHAnsi" w:hAnsiTheme="minorHAnsi"/>
          <w:b w:val="0"/>
          <w:color w:val="auto"/>
          <w:lang w:val="de-DE"/>
        </w:rPr>
        <w:instrText xml:space="preserve"> PAGEREF _Toc453080762 \h </w:instrText>
      </w:r>
      <w:r w:rsidRPr="00902298">
        <w:rPr>
          <w:rFonts w:asciiTheme="minorHAnsi" w:hAnsiTheme="minorHAnsi"/>
          <w:b w:val="0"/>
          <w:color w:val="auto"/>
          <w:lang w:val="de-DE"/>
        </w:rPr>
      </w:r>
      <w:r w:rsidRPr="00902298">
        <w:rPr>
          <w:rFonts w:asciiTheme="minorHAnsi" w:hAnsiTheme="minorHAnsi"/>
          <w:b w:val="0"/>
          <w:color w:val="auto"/>
          <w:lang w:val="de-DE"/>
        </w:rPr>
        <w:fldChar w:fldCharType="separate"/>
      </w:r>
      <w:r w:rsidR="00C97D80">
        <w:rPr>
          <w:rFonts w:asciiTheme="minorHAnsi" w:hAnsiTheme="minorHAnsi"/>
          <w:b w:val="0"/>
          <w:color w:val="auto"/>
          <w:lang w:val="de-DE"/>
        </w:rPr>
        <w:t>8</w:t>
      </w:r>
      <w:r w:rsidRPr="00902298">
        <w:rPr>
          <w:rFonts w:asciiTheme="minorHAnsi" w:hAnsiTheme="minorHAnsi"/>
          <w:b w:val="0"/>
          <w:color w:val="auto"/>
          <w:lang w:val="de-DE"/>
        </w:rPr>
        <w:fldChar w:fldCharType="end"/>
      </w:r>
    </w:p>
    <w:p w14:paraId="13BC7620" w14:textId="77777777" w:rsidR="00853A29" w:rsidRPr="00853A29" w:rsidRDefault="00853A29">
      <w:pPr>
        <w:pStyle w:val="TOC2"/>
        <w:rPr>
          <w:noProof/>
          <w:lang w:val="de-DE" w:eastAsia="de-DE"/>
        </w:rPr>
      </w:pPr>
      <w:r w:rsidRPr="00853A29">
        <w:rPr>
          <w:noProof/>
          <w:lang w:val="de-DE"/>
        </w:rPr>
        <w:t>4.2 Währung</w:t>
      </w:r>
      <w:r w:rsidRPr="00853A29">
        <w:rPr>
          <w:noProof/>
          <w:lang w:val="de-DE"/>
        </w:rPr>
        <w:tab/>
      </w:r>
      <w:r w:rsidRPr="00853A29">
        <w:rPr>
          <w:noProof/>
        </w:rPr>
        <w:fldChar w:fldCharType="begin"/>
      </w:r>
      <w:r w:rsidRPr="00853A29">
        <w:rPr>
          <w:noProof/>
          <w:lang w:val="de-DE"/>
        </w:rPr>
        <w:instrText xml:space="preserve"> PAGEREF _Toc453080763 \h </w:instrText>
      </w:r>
      <w:r w:rsidRPr="00853A29">
        <w:rPr>
          <w:noProof/>
        </w:rPr>
      </w:r>
      <w:r w:rsidRPr="00853A29">
        <w:rPr>
          <w:noProof/>
        </w:rPr>
        <w:fldChar w:fldCharType="separate"/>
      </w:r>
      <w:r w:rsidR="00C97D80">
        <w:rPr>
          <w:noProof/>
          <w:lang w:val="de-DE"/>
        </w:rPr>
        <w:t>9</w:t>
      </w:r>
      <w:r w:rsidRPr="00853A29">
        <w:rPr>
          <w:noProof/>
        </w:rPr>
        <w:fldChar w:fldCharType="end"/>
      </w:r>
    </w:p>
    <w:p w14:paraId="400C668B" w14:textId="77777777" w:rsidR="00853A29" w:rsidRPr="00853A29" w:rsidRDefault="00853A29">
      <w:pPr>
        <w:pStyle w:val="TOC2"/>
        <w:rPr>
          <w:noProof/>
          <w:lang w:val="de-DE" w:eastAsia="de-DE"/>
        </w:rPr>
      </w:pPr>
      <w:r w:rsidRPr="00853A29">
        <w:rPr>
          <w:noProof/>
          <w:lang w:val="de-DE"/>
        </w:rPr>
        <w:t>4.3 Steuern</w:t>
      </w:r>
      <w:r w:rsidRPr="00853A29">
        <w:rPr>
          <w:noProof/>
          <w:lang w:val="de-DE"/>
        </w:rPr>
        <w:tab/>
      </w:r>
      <w:r w:rsidRPr="00853A29">
        <w:rPr>
          <w:noProof/>
        </w:rPr>
        <w:fldChar w:fldCharType="begin"/>
      </w:r>
      <w:r w:rsidRPr="00853A29">
        <w:rPr>
          <w:noProof/>
          <w:lang w:val="de-DE"/>
        </w:rPr>
        <w:instrText xml:space="preserve"> PAGEREF _Toc453080764 \h </w:instrText>
      </w:r>
      <w:r w:rsidRPr="00853A29">
        <w:rPr>
          <w:noProof/>
        </w:rPr>
      </w:r>
      <w:r w:rsidRPr="00853A29">
        <w:rPr>
          <w:noProof/>
        </w:rPr>
        <w:fldChar w:fldCharType="separate"/>
      </w:r>
      <w:r w:rsidR="00C97D80">
        <w:rPr>
          <w:noProof/>
          <w:lang w:val="de-DE"/>
        </w:rPr>
        <w:t>9</w:t>
      </w:r>
      <w:r w:rsidRPr="00853A29">
        <w:rPr>
          <w:noProof/>
        </w:rPr>
        <w:fldChar w:fldCharType="end"/>
      </w:r>
    </w:p>
    <w:p w14:paraId="36C6AFD3" w14:textId="37CE0423" w:rsidR="00853A29" w:rsidRPr="00853A29" w:rsidRDefault="00064B0D">
      <w:pPr>
        <w:pStyle w:val="TOC2"/>
        <w:rPr>
          <w:noProof/>
          <w:lang w:val="de-DE" w:eastAsia="de-DE"/>
        </w:rPr>
      </w:pPr>
      <w:r>
        <w:rPr>
          <w:noProof/>
          <w:lang w:val="de-DE"/>
        </w:rPr>
        <w:t>4.4</w:t>
      </w:r>
      <w:r w:rsidR="00853A29" w:rsidRPr="00853A29">
        <w:rPr>
          <w:noProof/>
          <w:lang w:val="de-DE"/>
        </w:rPr>
        <w:t xml:space="preserve"> Mehrwertsteuer (MWSt.)</w:t>
      </w:r>
      <w:r w:rsidR="00853A29" w:rsidRPr="00853A29">
        <w:rPr>
          <w:noProof/>
          <w:lang w:val="de-DE"/>
        </w:rPr>
        <w:tab/>
      </w:r>
      <w:r w:rsidR="00853A29" w:rsidRPr="00853A29">
        <w:rPr>
          <w:noProof/>
        </w:rPr>
        <w:fldChar w:fldCharType="begin"/>
      </w:r>
      <w:r w:rsidR="00853A29" w:rsidRPr="00853A29">
        <w:rPr>
          <w:noProof/>
          <w:lang w:val="de-DE"/>
        </w:rPr>
        <w:instrText xml:space="preserve"> PAGEREF _Toc453080765 \h </w:instrText>
      </w:r>
      <w:r w:rsidR="00853A29" w:rsidRPr="00853A29">
        <w:rPr>
          <w:noProof/>
        </w:rPr>
      </w:r>
      <w:r w:rsidR="00853A29" w:rsidRPr="00853A29">
        <w:rPr>
          <w:noProof/>
        </w:rPr>
        <w:fldChar w:fldCharType="separate"/>
      </w:r>
      <w:r w:rsidR="00C97D80">
        <w:rPr>
          <w:noProof/>
          <w:lang w:val="de-DE"/>
        </w:rPr>
        <w:t>9</w:t>
      </w:r>
      <w:r w:rsidR="00853A29" w:rsidRPr="00853A29">
        <w:rPr>
          <w:noProof/>
        </w:rPr>
        <w:fldChar w:fldCharType="end"/>
      </w:r>
    </w:p>
    <w:p w14:paraId="5324D6A8" w14:textId="509A9E85" w:rsidR="00853A29" w:rsidRPr="00853A29" w:rsidRDefault="00853A29">
      <w:pPr>
        <w:pStyle w:val="TOC2"/>
        <w:rPr>
          <w:noProof/>
          <w:lang w:val="de-DE" w:eastAsia="de-DE"/>
        </w:rPr>
      </w:pPr>
      <w:r w:rsidRPr="00853A29">
        <w:rPr>
          <w:b/>
          <w:noProof/>
          <w:color w:val="4F81BD" w:themeColor="accent1"/>
          <w:lang w:val="de-DE"/>
        </w:rPr>
        <w:t>5. Sonstige allgemeine Regelungen</w:t>
      </w:r>
      <w:r w:rsidRPr="00853A29">
        <w:rPr>
          <w:rFonts w:ascii="Cambria" w:hAnsi="Cambria"/>
          <w:b/>
          <w:noProof/>
          <w:color w:val="548DD4"/>
          <w:lang w:val="de-DE"/>
        </w:rPr>
        <w:tab/>
      </w:r>
      <w:r w:rsidRPr="00853A29">
        <w:rPr>
          <w:rFonts w:ascii="Cambria" w:hAnsi="Cambria"/>
          <w:b/>
          <w:noProof/>
          <w:color w:val="548DD4"/>
          <w:lang w:val="de-DE"/>
        </w:rPr>
        <w:fldChar w:fldCharType="begin"/>
      </w:r>
      <w:r w:rsidRPr="00853A29">
        <w:rPr>
          <w:rFonts w:ascii="Cambria" w:hAnsi="Cambria"/>
          <w:b/>
          <w:noProof/>
          <w:color w:val="548DD4"/>
          <w:lang w:val="de-DE"/>
        </w:rPr>
        <w:instrText xml:space="preserve"> PAGEREF _Toc453080767 \h </w:instrText>
      </w:r>
      <w:r w:rsidRPr="00853A29">
        <w:rPr>
          <w:rFonts w:ascii="Cambria" w:hAnsi="Cambria"/>
          <w:b/>
          <w:noProof/>
          <w:color w:val="548DD4"/>
          <w:lang w:val="de-DE"/>
        </w:rPr>
      </w:r>
      <w:r w:rsidRPr="00853A29">
        <w:rPr>
          <w:rFonts w:ascii="Cambria" w:hAnsi="Cambria"/>
          <w:b/>
          <w:noProof/>
          <w:color w:val="548DD4"/>
          <w:lang w:val="de-DE"/>
        </w:rPr>
        <w:fldChar w:fldCharType="separate"/>
      </w:r>
      <w:r w:rsidR="00C97D80">
        <w:rPr>
          <w:rFonts w:ascii="Cambria" w:hAnsi="Cambria"/>
          <w:b/>
          <w:noProof/>
          <w:color w:val="548DD4"/>
          <w:lang w:val="de-DE"/>
        </w:rPr>
        <w:t>9</w:t>
      </w:r>
      <w:r w:rsidRPr="00853A29">
        <w:rPr>
          <w:rFonts w:ascii="Cambria" w:hAnsi="Cambria"/>
          <w:b/>
          <w:noProof/>
          <w:color w:val="548DD4"/>
          <w:lang w:val="de-DE"/>
        </w:rPr>
        <w:fldChar w:fldCharType="end"/>
      </w:r>
    </w:p>
    <w:p w14:paraId="474BC76B" w14:textId="77777777" w:rsidR="00853A29" w:rsidRPr="00853A29" w:rsidRDefault="00853A29">
      <w:pPr>
        <w:pStyle w:val="TOC2"/>
        <w:rPr>
          <w:noProof/>
          <w:lang w:val="de-DE" w:eastAsia="de-DE"/>
        </w:rPr>
      </w:pPr>
      <w:r w:rsidRPr="00853A29">
        <w:rPr>
          <w:noProof/>
          <w:lang w:val="de-DE"/>
        </w:rPr>
        <w:t>5.1 Dauer der Veröffentlichung</w:t>
      </w:r>
      <w:r w:rsidRPr="00853A29">
        <w:rPr>
          <w:noProof/>
          <w:lang w:val="de-DE"/>
        </w:rPr>
        <w:tab/>
      </w:r>
      <w:r w:rsidRPr="00853A29">
        <w:rPr>
          <w:noProof/>
        </w:rPr>
        <w:fldChar w:fldCharType="begin"/>
      </w:r>
      <w:r w:rsidRPr="00853A29">
        <w:rPr>
          <w:noProof/>
          <w:lang w:val="de-DE"/>
        </w:rPr>
        <w:instrText xml:space="preserve"> PAGEREF _Toc453080768 \h </w:instrText>
      </w:r>
      <w:r w:rsidRPr="00853A29">
        <w:rPr>
          <w:noProof/>
        </w:rPr>
      </w:r>
      <w:r w:rsidRPr="00853A29">
        <w:rPr>
          <w:noProof/>
        </w:rPr>
        <w:fldChar w:fldCharType="separate"/>
      </w:r>
      <w:r w:rsidR="00C97D80">
        <w:rPr>
          <w:noProof/>
          <w:lang w:val="de-DE"/>
        </w:rPr>
        <w:t>9</w:t>
      </w:r>
      <w:r w:rsidRPr="00853A29">
        <w:rPr>
          <w:noProof/>
        </w:rPr>
        <w:fldChar w:fldCharType="end"/>
      </w:r>
    </w:p>
    <w:p w14:paraId="412E2C49" w14:textId="77777777" w:rsidR="00853A29" w:rsidRPr="00853A29" w:rsidRDefault="00853A29">
      <w:pPr>
        <w:pStyle w:val="TOC2"/>
        <w:rPr>
          <w:noProof/>
          <w:lang w:val="de-DE" w:eastAsia="de-DE"/>
        </w:rPr>
      </w:pPr>
      <w:r w:rsidRPr="00853A29">
        <w:rPr>
          <w:noProof/>
          <w:lang w:val="de-DE"/>
        </w:rPr>
        <w:t>5.2 Clearingstelle / Widerspruchsmanagement</w:t>
      </w:r>
      <w:r w:rsidRPr="00853A29">
        <w:rPr>
          <w:noProof/>
          <w:lang w:val="de-DE"/>
        </w:rPr>
        <w:tab/>
      </w:r>
      <w:r w:rsidRPr="00853A29">
        <w:rPr>
          <w:noProof/>
        </w:rPr>
        <w:fldChar w:fldCharType="begin"/>
      </w:r>
      <w:r w:rsidRPr="00853A29">
        <w:rPr>
          <w:noProof/>
          <w:lang w:val="de-DE"/>
        </w:rPr>
        <w:instrText xml:space="preserve"> PAGEREF _Toc453080769 \h </w:instrText>
      </w:r>
      <w:r w:rsidRPr="00853A29">
        <w:rPr>
          <w:noProof/>
        </w:rPr>
      </w:r>
      <w:r w:rsidRPr="00853A29">
        <w:rPr>
          <w:noProof/>
        </w:rPr>
        <w:fldChar w:fldCharType="separate"/>
      </w:r>
      <w:r w:rsidR="00C97D80">
        <w:rPr>
          <w:noProof/>
          <w:lang w:val="de-DE"/>
        </w:rPr>
        <w:t>10</w:t>
      </w:r>
      <w:r w:rsidRPr="00853A29">
        <w:rPr>
          <w:noProof/>
        </w:rPr>
        <w:fldChar w:fldCharType="end"/>
      </w:r>
    </w:p>
    <w:p w14:paraId="2A56EF81" w14:textId="77777777" w:rsidR="006A2EFC" w:rsidRPr="006004DD" w:rsidRDefault="006A2EFC" w:rsidP="004525A3">
      <w:pPr>
        <w:jc w:val="both"/>
        <w:rPr>
          <w:rFonts w:eastAsiaTheme="majorEastAsia" w:cstheme="majorBidi"/>
          <w:b/>
          <w:bCs/>
          <w:color w:val="365F91" w:themeColor="accent1" w:themeShade="BF"/>
          <w:sz w:val="28"/>
          <w:szCs w:val="28"/>
          <w:lang w:val="de-DE"/>
        </w:rPr>
      </w:pPr>
      <w:r w:rsidRPr="00853A29">
        <w:fldChar w:fldCharType="end"/>
      </w:r>
      <w:r w:rsidRPr="008714FE">
        <w:rPr>
          <w:lang w:val="de-DE"/>
        </w:rPr>
        <w:br w:type="page"/>
      </w:r>
    </w:p>
    <w:p w14:paraId="642F02AD" w14:textId="35B42FB4" w:rsidR="00A37E5C" w:rsidRPr="00724A0F" w:rsidRDefault="009C3DAF" w:rsidP="004525A3">
      <w:pPr>
        <w:pStyle w:val="Heading1"/>
        <w:numPr>
          <w:ilvl w:val="0"/>
          <w:numId w:val="5"/>
        </w:numPr>
        <w:jc w:val="both"/>
        <w:rPr>
          <w:rFonts w:asciiTheme="minorHAnsi" w:hAnsiTheme="minorHAnsi"/>
        </w:rPr>
      </w:pPr>
      <w:bookmarkStart w:id="2" w:name="_Toc313555985"/>
      <w:bookmarkStart w:id="3" w:name="_Toc453080747"/>
      <w:r w:rsidRPr="006004DD">
        <w:rPr>
          <w:rFonts w:asciiTheme="minorHAnsi" w:hAnsiTheme="minorHAnsi"/>
          <w:lang w:val="de-DE"/>
        </w:rPr>
        <w:lastRenderedPageBreak/>
        <w:t>Allgemeine Einleitung</w:t>
      </w:r>
      <w:bookmarkEnd w:id="1"/>
      <w:bookmarkEnd w:id="2"/>
      <w:bookmarkEnd w:id="3"/>
    </w:p>
    <w:p w14:paraId="30103345" w14:textId="629A95A6" w:rsidR="00713A9B" w:rsidRPr="00DA3D0B" w:rsidRDefault="009C3DAF" w:rsidP="004525A3">
      <w:pPr>
        <w:jc w:val="both"/>
        <w:rPr>
          <w:rFonts w:cs="Myriad Pro"/>
          <w:color w:val="000000"/>
          <w:lang w:val="de-DE"/>
        </w:rPr>
      </w:pPr>
      <w:r w:rsidRPr="009C3DAF">
        <w:rPr>
          <w:rFonts w:cs="Myriad Pro"/>
          <w:color w:val="000000"/>
          <w:lang w:val="de-DE"/>
        </w:rPr>
        <w:t xml:space="preserve">Die Zusammenarbeit zwischen der Industrie und </w:t>
      </w:r>
      <w:r w:rsidR="009C204E">
        <w:rPr>
          <w:rFonts w:cs="Myriad Pro"/>
          <w:color w:val="000000"/>
          <w:lang w:val="de-DE"/>
        </w:rPr>
        <w:t>Fachkreisangehörige</w:t>
      </w:r>
      <w:r w:rsidRPr="009C3DAF">
        <w:rPr>
          <w:rFonts w:cs="Myriad Pro"/>
          <w:color w:val="000000"/>
          <w:lang w:val="de-DE"/>
        </w:rPr>
        <w:t>n kommt den Patienten zu</w:t>
      </w:r>
      <w:r>
        <w:rPr>
          <w:rFonts w:cs="Myriad Pro"/>
          <w:color w:val="000000"/>
          <w:lang w:val="de-DE"/>
        </w:rPr>
        <w:t xml:space="preserve">gute. Es handelt sich hierbei um eine Beziehung, die bereits </w:t>
      </w:r>
      <w:r w:rsidR="0090061E">
        <w:rPr>
          <w:rFonts w:cs="Myriad Pro"/>
          <w:color w:val="000000"/>
          <w:lang w:val="de-DE"/>
        </w:rPr>
        <w:t>eine V</w:t>
      </w:r>
      <w:r>
        <w:rPr>
          <w:rFonts w:cs="Myriad Pro"/>
          <w:color w:val="000000"/>
          <w:lang w:val="de-DE"/>
        </w:rPr>
        <w:t>iel</w:t>
      </w:r>
      <w:r w:rsidR="0090061E">
        <w:rPr>
          <w:rFonts w:cs="Myriad Pro"/>
          <w:color w:val="000000"/>
          <w:lang w:val="de-DE"/>
        </w:rPr>
        <w:t>zahl an</w:t>
      </w:r>
      <w:r>
        <w:rPr>
          <w:rFonts w:cs="Myriad Pro"/>
          <w:color w:val="000000"/>
          <w:lang w:val="de-DE"/>
        </w:rPr>
        <w:t xml:space="preserve"> innovative</w:t>
      </w:r>
      <w:r w:rsidR="0090061E">
        <w:rPr>
          <w:rFonts w:cs="Myriad Pro"/>
          <w:color w:val="000000"/>
          <w:lang w:val="de-DE"/>
        </w:rPr>
        <w:t>n</w:t>
      </w:r>
      <w:r>
        <w:rPr>
          <w:rFonts w:cs="Myriad Pro"/>
          <w:color w:val="000000"/>
          <w:lang w:val="de-DE"/>
        </w:rPr>
        <w:t xml:space="preserve"> Medikamente</w:t>
      </w:r>
      <w:r w:rsidR="0090061E">
        <w:rPr>
          <w:rFonts w:cs="Myriad Pro"/>
          <w:color w:val="000000"/>
          <w:lang w:val="de-DE"/>
        </w:rPr>
        <w:t>n</w:t>
      </w:r>
      <w:r>
        <w:rPr>
          <w:rFonts w:cs="Myriad Pro"/>
          <w:color w:val="000000"/>
          <w:lang w:val="de-DE"/>
        </w:rPr>
        <w:t xml:space="preserve"> hervorgebracht </w:t>
      </w:r>
      <w:r w:rsidR="004D634E">
        <w:rPr>
          <w:rFonts w:cs="Myriad Pro"/>
          <w:color w:val="000000"/>
          <w:lang w:val="de-DE"/>
        </w:rPr>
        <w:t xml:space="preserve">und die Auswirkungen vieler Erkrankungen auf unsere Gesundheit verändert hat. Die </w:t>
      </w:r>
      <w:r w:rsidR="0090061E">
        <w:rPr>
          <w:rFonts w:cs="Myriad Pro"/>
          <w:color w:val="000000"/>
          <w:lang w:val="de-DE"/>
        </w:rPr>
        <w:t>Kooperation</w:t>
      </w:r>
      <w:r w:rsidR="004D634E">
        <w:rPr>
          <w:rFonts w:cs="Myriad Pro"/>
          <w:color w:val="000000"/>
          <w:lang w:val="de-DE"/>
        </w:rPr>
        <w:t xml:space="preserve"> zwischen</w:t>
      </w:r>
      <w:r w:rsidR="0090061E">
        <w:rPr>
          <w:rFonts w:cs="Myriad Pro"/>
          <w:color w:val="000000"/>
          <w:lang w:val="de-DE"/>
        </w:rPr>
        <w:t xml:space="preserve"> der pharmazeutischen Industrie und </w:t>
      </w:r>
      <w:r w:rsidR="009C204E">
        <w:rPr>
          <w:rFonts w:cs="Myriad Pro"/>
          <w:color w:val="000000"/>
          <w:lang w:val="de-DE"/>
        </w:rPr>
        <w:t>Fachkreisangehörige</w:t>
      </w:r>
      <w:r w:rsidR="0090061E">
        <w:rPr>
          <w:rFonts w:cs="Myriad Pro"/>
          <w:color w:val="000000"/>
          <w:lang w:val="de-DE"/>
        </w:rPr>
        <w:t>n erfolgt in vielfältiger Weise</w:t>
      </w:r>
      <w:r w:rsidR="007B0F61">
        <w:rPr>
          <w:rFonts w:cs="Myriad Pro"/>
          <w:color w:val="000000"/>
          <w:lang w:val="de-DE"/>
        </w:rPr>
        <w:t>.</w:t>
      </w:r>
      <w:r w:rsidR="0090061E">
        <w:rPr>
          <w:rFonts w:cs="Myriad Pro"/>
          <w:color w:val="000000"/>
          <w:lang w:val="de-DE"/>
        </w:rPr>
        <w:t xml:space="preserve"> </w:t>
      </w:r>
      <w:r w:rsidR="007B0F61">
        <w:rPr>
          <w:rFonts w:cs="Myriad Pro"/>
          <w:color w:val="000000"/>
          <w:lang w:val="de-DE"/>
        </w:rPr>
        <w:t>A</w:t>
      </w:r>
      <w:r w:rsidR="0090061E">
        <w:rPr>
          <w:rFonts w:cs="Myriad Pro"/>
          <w:color w:val="000000"/>
          <w:lang w:val="de-DE"/>
        </w:rPr>
        <w:t xml:space="preserve">ngefangen </w:t>
      </w:r>
      <w:r w:rsidR="005475E7">
        <w:rPr>
          <w:rFonts w:cs="Myriad Pro"/>
          <w:color w:val="000000"/>
          <w:lang w:val="de-DE"/>
        </w:rPr>
        <w:t>von</w:t>
      </w:r>
      <w:r w:rsidR="0090061E">
        <w:rPr>
          <w:rFonts w:cs="Myriad Pro"/>
          <w:color w:val="000000"/>
          <w:lang w:val="de-DE"/>
        </w:rPr>
        <w:t xml:space="preserve"> klinischer Forschung über die gemeinsame Verfolgung der Grundsätze einer besten klinischen Praxis bis hin zum Austausch von Informationen zur Fragestellung, inwieweit </w:t>
      </w:r>
      <w:r w:rsidR="00710220">
        <w:rPr>
          <w:rFonts w:cs="Myriad Pro"/>
          <w:color w:val="000000"/>
          <w:lang w:val="de-DE"/>
        </w:rPr>
        <w:t>sich neue Medikamente in die B</w:t>
      </w:r>
      <w:r w:rsidR="005475E7">
        <w:rPr>
          <w:rFonts w:cs="Myriad Pro"/>
          <w:color w:val="000000"/>
          <w:lang w:val="de-DE"/>
        </w:rPr>
        <w:t>ehandlung der Patienten einbinden lassen</w:t>
      </w:r>
      <w:r w:rsidR="00710220">
        <w:rPr>
          <w:rFonts w:cs="Myriad Pro"/>
          <w:color w:val="000000"/>
          <w:lang w:val="de-DE"/>
        </w:rPr>
        <w:t>. Bei der Verbesserung der Transparenz dieser ohnehin s</w:t>
      </w:r>
      <w:r w:rsidR="005475E7">
        <w:rPr>
          <w:rFonts w:cs="Myriad Pro"/>
          <w:color w:val="000000"/>
          <w:lang w:val="de-DE"/>
        </w:rPr>
        <w:t>chon</w:t>
      </w:r>
      <w:r w:rsidR="00710220">
        <w:rPr>
          <w:rFonts w:cs="Myriad Pro"/>
          <w:color w:val="000000"/>
          <w:lang w:val="de-DE"/>
        </w:rPr>
        <w:t xml:space="preserve"> stark reglementierten, wichtigen Beziehung geht es um die Schaffung und Stärkung einer entsprechenden Grundlage für eine künftige Zusammenarbeit. Die Gesellschaft stellt zunehmend höhere Anforderungen in Sachen Transparenz, und das gilt umso mehr für den Gesundheitsbereich. Das Unternehmen Takeda möchte als Mitglied der</w:t>
      </w:r>
      <w:r w:rsidR="00DA3D0B">
        <w:rPr>
          <w:rFonts w:cs="Myriad Pro"/>
          <w:color w:val="000000"/>
          <w:lang w:val="de-DE"/>
        </w:rPr>
        <w:t xml:space="preserve"> </w:t>
      </w:r>
      <w:r w:rsidR="00710220" w:rsidRPr="00710220">
        <w:rPr>
          <w:rFonts w:cs="Myriad Pro"/>
          <w:color w:val="000000"/>
          <w:lang w:val="de-DE"/>
        </w:rPr>
        <w:t xml:space="preserve">European Federation of Pharmaceutical Industries </w:t>
      </w:r>
      <w:r w:rsidR="00DA3D0B">
        <w:rPr>
          <w:rFonts w:cs="Myriad Pro"/>
          <w:color w:val="000000"/>
          <w:lang w:val="de-DE"/>
        </w:rPr>
        <w:t xml:space="preserve">and </w:t>
      </w:r>
      <w:r w:rsidR="00710220" w:rsidRPr="00710220">
        <w:rPr>
          <w:rFonts w:cs="Myriad Pro"/>
          <w:color w:val="000000"/>
          <w:lang w:val="de-DE"/>
        </w:rPr>
        <w:t>Associations</w:t>
      </w:r>
      <w:r w:rsidR="00710220">
        <w:rPr>
          <w:rFonts w:cs="Myriad Pro"/>
          <w:color w:val="000000"/>
          <w:lang w:val="de-DE"/>
        </w:rPr>
        <w:t xml:space="preserve"> („EFPIA“,</w:t>
      </w:r>
      <w:r w:rsidR="00DA3D0B">
        <w:rPr>
          <w:rFonts w:cs="Myriad Pro"/>
          <w:color w:val="000000"/>
          <w:lang w:val="de-DE"/>
        </w:rPr>
        <w:t xml:space="preserve"> </w:t>
      </w:r>
      <w:r w:rsidR="00DA3D0B" w:rsidRPr="00DA3D0B">
        <w:rPr>
          <w:rFonts w:cs="Myriad Pro"/>
          <w:color w:val="000000"/>
          <w:lang w:val="de-DE"/>
        </w:rPr>
        <w:t>Europäische Vereinigung der Pharmazeutischen Industrie und ihrer Verbände</w:t>
      </w:r>
      <w:r w:rsidR="00DA3D0B">
        <w:rPr>
          <w:rFonts w:cs="Myriad Pro"/>
          <w:color w:val="000000"/>
          <w:lang w:val="de-DE"/>
        </w:rPr>
        <w:t xml:space="preserve">) sicherstellen, dass wir in der Zukunft diesen Anforderungen bzw. Erwartungen entsprechen. </w:t>
      </w:r>
    </w:p>
    <w:p w14:paraId="69AE2440" w14:textId="4FE40A6A" w:rsidR="007D2069" w:rsidRPr="00DA3D0B" w:rsidRDefault="004749A6" w:rsidP="004525A3">
      <w:pPr>
        <w:jc w:val="both"/>
        <w:rPr>
          <w:rFonts w:eastAsiaTheme="majorEastAsia" w:cstheme="majorBidi"/>
          <w:b/>
          <w:bCs/>
          <w:color w:val="365F91" w:themeColor="accent1" w:themeShade="BF"/>
          <w:sz w:val="28"/>
          <w:szCs w:val="28"/>
          <w:lang w:val="de-DE"/>
        </w:rPr>
      </w:pPr>
      <w:bookmarkStart w:id="4" w:name="_Toc311393062"/>
      <w:r w:rsidRPr="00DA3D0B">
        <w:rPr>
          <w:lang w:val="de-DE"/>
        </w:rPr>
        <w:t>Diese methodischen Hinweise richten sich an alle,</w:t>
      </w:r>
      <w:r w:rsidR="00DA3D0B" w:rsidRPr="00DA3D0B">
        <w:rPr>
          <w:lang w:val="de-DE"/>
        </w:rPr>
        <w:t xml:space="preserve"> die einen besseren Einblick in die Arbeitshypothesen bzw.</w:t>
      </w:r>
      <w:r w:rsidR="00DA3D0B">
        <w:rPr>
          <w:lang w:val="de-DE"/>
        </w:rPr>
        <w:t xml:space="preserve"> –prämissen gewinnen möchten, die bei der Erstellung des Offenlegungsberichts </w:t>
      </w:r>
      <w:r w:rsidR="00671AC8">
        <w:rPr>
          <w:lang w:val="de-DE"/>
        </w:rPr>
        <w:t xml:space="preserve">des Unternehmens </w:t>
      </w:r>
      <w:r w:rsidR="00A1671F">
        <w:rPr>
          <w:lang w:val="de-DE"/>
        </w:rPr>
        <w:t xml:space="preserve">Takeda </w:t>
      </w:r>
      <w:r w:rsidR="003C32D2">
        <w:rPr>
          <w:lang w:val="de-DE"/>
        </w:rPr>
        <w:t>Pharma</w:t>
      </w:r>
      <w:r w:rsidR="00671AC8" w:rsidRPr="00671AC8">
        <w:rPr>
          <w:lang w:val="de-DE"/>
        </w:rPr>
        <w:t xml:space="preserve"> Anwendung finden; außerdem </w:t>
      </w:r>
      <w:r w:rsidR="00671AC8">
        <w:rPr>
          <w:lang w:val="de-DE"/>
        </w:rPr>
        <w:t xml:space="preserve">soll mit diesem Dokument eine Übersicht </w:t>
      </w:r>
      <w:r w:rsidR="00F671C7">
        <w:rPr>
          <w:lang w:val="de-DE"/>
        </w:rPr>
        <w:t>der</w:t>
      </w:r>
      <w:r w:rsidR="00671AC8">
        <w:rPr>
          <w:lang w:val="de-DE"/>
        </w:rPr>
        <w:t xml:space="preserve"> innerhalb der Takeda-Unternehmensgruppe geltenden Definitionen in Bezug auf offengelegte Aktivitäten gegeben werden. </w:t>
      </w:r>
      <w:r w:rsidR="00DA3D0B" w:rsidRPr="00DA3D0B">
        <w:rPr>
          <w:lang w:val="de-DE"/>
        </w:rPr>
        <w:t xml:space="preserve"> </w:t>
      </w:r>
      <w:r w:rsidRPr="00DA3D0B">
        <w:rPr>
          <w:lang w:val="de-DE"/>
        </w:rPr>
        <w:t xml:space="preserve"> </w:t>
      </w:r>
    </w:p>
    <w:p w14:paraId="58B191AD" w14:textId="7D6037C3" w:rsidR="00B23528" w:rsidRPr="00DA3D0B" w:rsidRDefault="00671AC8" w:rsidP="00F9125E">
      <w:pPr>
        <w:pStyle w:val="Heading1"/>
        <w:numPr>
          <w:ilvl w:val="0"/>
          <w:numId w:val="5"/>
        </w:numPr>
        <w:ind w:left="567" w:hanging="567"/>
        <w:jc w:val="both"/>
        <w:rPr>
          <w:rFonts w:asciiTheme="minorHAnsi" w:hAnsiTheme="minorHAnsi"/>
          <w:lang w:val="de-DE"/>
        </w:rPr>
      </w:pPr>
      <w:bookmarkStart w:id="5" w:name="_Toc453080748"/>
      <w:r>
        <w:rPr>
          <w:rFonts w:asciiTheme="minorHAnsi" w:hAnsiTheme="minorHAnsi"/>
          <w:lang w:val="de-DE"/>
        </w:rPr>
        <w:t>Umfang der Offenlegung</w:t>
      </w:r>
      <w:bookmarkEnd w:id="4"/>
      <w:bookmarkEnd w:id="5"/>
      <w:r w:rsidR="00B23528" w:rsidRPr="00DA3D0B">
        <w:rPr>
          <w:rFonts w:asciiTheme="minorHAnsi" w:hAnsiTheme="minorHAnsi"/>
          <w:lang w:val="de-DE"/>
        </w:rPr>
        <w:t xml:space="preserve"> </w:t>
      </w:r>
    </w:p>
    <w:p w14:paraId="4E7C5F62" w14:textId="1E2219F3" w:rsidR="005A07F0" w:rsidRPr="00047F20" w:rsidRDefault="00671AC8" w:rsidP="007B0F61">
      <w:pPr>
        <w:jc w:val="both"/>
        <w:rPr>
          <w:lang w:val="de-DE"/>
        </w:rPr>
      </w:pPr>
      <w:r w:rsidRPr="00047F20">
        <w:rPr>
          <w:lang w:val="de-DE"/>
        </w:rPr>
        <w:t xml:space="preserve">Zur korrekten Festlegung dessen, was </w:t>
      </w:r>
      <w:r w:rsidR="00047F20" w:rsidRPr="00047F20">
        <w:rPr>
          <w:lang w:val="de-DE"/>
        </w:rPr>
        <w:t>gemäß den geltenden EFPIA-Richtlinien (</w:t>
      </w:r>
      <w:hyperlink r:id="rId11" w:history="1">
        <w:r w:rsidR="00047F20" w:rsidRPr="00047F20">
          <w:rPr>
            <w:rStyle w:val="Hyperlink"/>
            <w:lang w:val="de-DE"/>
          </w:rPr>
          <w:t>http://transparency.efpia.eu/the-efpia-code-2</w:t>
        </w:r>
      </w:hyperlink>
      <w:r w:rsidR="00047F20" w:rsidRPr="00047F20">
        <w:rPr>
          <w:lang w:val="de-DE"/>
        </w:rPr>
        <w:t>) sowie den</w:t>
      </w:r>
      <w:r w:rsidR="00C347BF">
        <w:rPr>
          <w:lang w:val="de-DE"/>
        </w:rPr>
        <w:t xml:space="preserve"> Vorgaben der für Takeda</w:t>
      </w:r>
      <w:r w:rsidR="00047F20" w:rsidRPr="00047F20">
        <w:rPr>
          <w:lang w:val="de-DE"/>
        </w:rPr>
        <w:t xml:space="preserve"> in </w:t>
      </w:r>
      <w:r w:rsidR="003C32D2">
        <w:rPr>
          <w:lang w:val="de-DE"/>
        </w:rPr>
        <w:t xml:space="preserve">Deutschland </w:t>
      </w:r>
      <w:r w:rsidR="00C347BF">
        <w:rPr>
          <w:lang w:val="de-DE"/>
        </w:rPr>
        <w:t>zuständigen Verbände</w:t>
      </w:r>
      <w:r w:rsidR="00047F20" w:rsidRPr="00047F20">
        <w:rPr>
          <w:lang w:val="de-DE"/>
        </w:rPr>
        <w:t xml:space="preserve"> </w:t>
      </w:r>
      <w:r w:rsidR="003C32D2" w:rsidRPr="009C204E">
        <w:rPr>
          <w:lang w:val="de-DE"/>
        </w:rPr>
        <w:t>Freiwillige Selbstkontrolle der Arzneimittelindustrie e. V. (FSA) (</w:t>
      </w:r>
      <w:hyperlink r:id="rId12" w:history="1">
        <w:r w:rsidR="003C32D2" w:rsidRPr="009C204E">
          <w:rPr>
            <w:rStyle w:val="Hyperlink"/>
            <w:lang w:val="de-DE"/>
          </w:rPr>
          <w:t>www.fsa-pharma.de</w:t>
        </w:r>
      </w:hyperlink>
      <w:r w:rsidR="003C32D2" w:rsidRPr="009C204E">
        <w:rPr>
          <w:lang w:val="de-DE"/>
        </w:rPr>
        <w:t>) und Verband forschender Arzneimittelhersteller e. V. (</w:t>
      </w:r>
      <w:proofErr w:type="spellStart"/>
      <w:r w:rsidR="003C32D2" w:rsidRPr="009C204E">
        <w:rPr>
          <w:lang w:val="de-DE"/>
        </w:rPr>
        <w:t>VfA</w:t>
      </w:r>
      <w:proofErr w:type="spellEnd"/>
      <w:r w:rsidR="003C32D2" w:rsidRPr="009C204E">
        <w:rPr>
          <w:lang w:val="de-DE"/>
        </w:rPr>
        <w:t>) (</w:t>
      </w:r>
      <w:hyperlink r:id="rId13" w:history="1">
        <w:r w:rsidR="003C32D2" w:rsidRPr="009C204E">
          <w:rPr>
            <w:rStyle w:val="Hyperlink"/>
            <w:lang w:val="de-DE"/>
          </w:rPr>
          <w:t>www.vfa.de</w:t>
        </w:r>
      </w:hyperlink>
      <w:r w:rsidR="003C32D2" w:rsidRPr="009C204E">
        <w:rPr>
          <w:lang w:val="de-DE"/>
        </w:rPr>
        <w:t>)</w:t>
      </w:r>
      <w:r w:rsidR="003C32D2" w:rsidRPr="003C32D2">
        <w:rPr>
          <w:lang w:val="de-DE"/>
        </w:rPr>
        <w:t xml:space="preserve"> </w:t>
      </w:r>
      <w:r w:rsidR="00CC5019" w:rsidRPr="003C32D2">
        <w:rPr>
          <w:lang w:val="de-DE"/>
        </w:rPr>
        <w:t>als meldepflichtige Wertübertragung (Transfer of Value, ToV) gilt, bedurfte es</w:t>
      </w:r>
      <w:r w:rsidR="00CC5019">
        <w:rPr>
          <w:lang w:val="de-DE"/>
        </w:rPr>
        <w:t xml:space="preserve"> mehrerer interner Auslegungen</w:t>
      </w:r>
      <w:r w:rsidR="001F4D75">
        <w:rPr>
          <w:lang w:val="de-DE"/>
        </w:rPr>
        <w:t>.</w:t>
      </w:r>
      <w:r w:rsidR="00CC5019">
        <w:rPr>
          <w:lang w:val="de-DE"/>
        </w:rPr>
        <w:t xml:space="preserve"> </w:t>
      </w:r>
    </w:p>
    <w:p w14:paraId="14640E04" w14:textId="01EF2166" w:rsidR="005A07F0" w:rsidRPr="003A0A92" w:rsidRDefault="003A0A92" w:rsidP="007B0F61">
      <w:pPr>
        <w:jc w:val="both"/>
        <w:rPr>
          <w:lang w:val="de-DE"/>
        </w:rPr>
      </w:pPr>
      <w:r w:rsidRPr="003A0A92">
        <w:rPr>
          <w:lang w:val="de-DE"/>
        </w:rPr>
        <w:t>Nachfolgend haben wir eine Zusammenfassung unserer Interpretationen und Arbeitshypothesen</w:t>
      </w:r>
      <w:r w:rsidR="002720A6">
        <w:rPr>
          <w:lang w:val="de-DE"/>
        </w:rPr>
        <w:t>/-prämissen</w:t>
      </w:r>
      <w:r w:rsidRPr="003A0A92">
        <w:rPr>
          <w:lang w:val="de-DE"/>
        </w:rPr>
        <w:t xml:space="preserve"> erstellt, die wir </w:t>
      </w:r>
      <w:r w:rsidR="002720A6">
        <w:rPr>
          <w:lang w:val="de-DE"/>
        </w:rPr>
        <w:t xml:space="preserve">einheitlich </w:t>
      </w:r>
      <w:r w:rsidRPr="003A0A92">
        <w:rPr>
          <w:lang w:val="de-DE"/>
        </w:rPr>
        <w:t>bei der Erfassung von Daten verwenden</w:t>
      </w:r>
      <w:r w:rsidR="00CF0E43">
        <w:rPr>
          <w:lang w:val="de-DE"/>
        </w:rPr>
        <w:t>.</w:t>
      </w:r>
      <w:r w:rsidRPr="003A0A92">
        <w:rPr>
          <w:lang w:val="de-DE"/>
        </w:rPr>
        <w:t xml:space="preserve"> </w:t>
      </w:r>
      <w:r w:rsidR="00CF0E43">
        <w:rPr>
          <w:lang w:val="de-DE"/>
        </w:rPr>
        <w:t>Z</w:t>
      </w:r>
      <w:r>
        <w:rPr>
          <w:lang w:val="de-DE"/>
        </w:rPr>
        <w:t>ugleich</w:t>
      </w:r>
      <w:r w:rsidR="00D47CD4">
        <w:rPr>
          <w:lang w:val="de-DE"/>
        </w:rPr>
        <w:t xml:space="preserve"> wird erläutert, was </w:t>
      </w:r>
      <w:r w:rsidR="00F710C5">
        <w:rPr>
          <w:lang w:val="de-DE"/>
        </w:rPr>
        <w:t>unseren Definitionen nach unter den i</w:t>
      </w:r>
      <w:r w:rsidR="00E066CC">
        <w:rPr>
          <w:lang w:val="de-DE"/>
        </w:rPr>
        <w:t>n den</w:t>
      </w:r>
      <w:r w:rsidR="00F710C5">
        <w:rPr>
          <w:lang w:val="de-DE"/>
        </w:rPr>
        <w:t xml:space="preserve"> Geltungsbereich </w:t>
      </w:r>
      <w:r w:rsidR="00E066CC">
        <w:rPr>
          <w:lang w:val="de-DE"/>
        </w:rPr>
        <w:t>fallend</w:t>
      </w:r>
      <w:r w:rsidR="00F710C5">
        <w:rPr>
          <w:lang w:val="de-DE"/>
        </w:rPr>
        <w:t xml:space="preserve">en Empfängern, Aktivitäten und Ausgaben zu verstehen ist. </w:t>
      </w:r>
    </w:p>
    <w:p w14:paraId="2F2E7F4D" w14:textId="26DAB57C" w:rsidR="007E68D4" w:rsidRPr="00F710C5" w:rsidRDefault="00F710C5" w:rsidP="00F9125E">
      <w:pPr>
        <w:pStyle w:val="Heading2"/>
        <w:numPr>
          <w:ilvl w:val="1"/>
          <w:numId w:val="5"/>
        </w:numPr>
        <w:ind w:left="567" w:hanging="567"/>
        <w:jc w:val="both"/>
        <w:rPr>
          <w:rFonts w:asciiTheme="minorHAnsi" w:hAnsiTheme="minorHAnsi"/>
          <w:lang w:val="de-DE"/>
        </w:rPr>
      </w:pPr>
      <w:bookmarkStart w:id="6" w:name="_Toc311393063"/>
      <w:bookmarkStart w:id="7" w:name="_Toc453080749"/>
      <w:r w:rsidRPr="00F710C5">
        <w:rPr>
          <w:rFonts w:asciiTheme="minorHAnsi" w:hAnsiTheme="minorHAnsi"/>
          <w:lang w:val="de-DE"/>
        </w:rPr>
        <w:t>Umfang bzw. Geltungsbereich in Bezug auf den Empfängerkreis</w:t>
      </w:r>
      <w:bookmarkEnd w:id="6"/>
      <w:bookmarkEnd w:id="7"/>
    </w:p>
    <w:p w14:paraId="25D68491" w14:textId="3FF8FDA5" w:rsidR="00B23528" w:rsidRPr="00F710C5" w:rsidRDefault="009C204E" w:rsidP="005367F5">
      <w:pPr>
        <w:pStyle w:val="Heading3"/>
        <w:numPr>
          <w:ilvl w:val="2"/>
          <w:numId w:val="5"/>
        </w:numPr>
        <w:ind w:left="567" w:hanging="567"/>
        <w:jc w:val="both"/>
        <w:rPr>
          <w:rFonts w:asciiTheme="minorHAnsi" w:hAnsiTheme="minorHAnsi"/>
          <w:lang w:val="de-DE"/>
        </w:rPr>
      </w:pPr>
      <w:bookmarkStart w:id="8" w:name="_Toc311393064"/>
      <w:bookmarkStart w:id="9" w:name="_Toc453080750"/>
      <w:bookmarkStart w:id="10" w:name="_Toc310773576"/>
      <w:r>
        <w:rPr>
          <w:rFonts w:asciiTheme="minorHAnsi" w:hAnsiTheme="minorHAnsi"/>
          <w:lang w:val="de-DE"/>
        </w:rPr>
        <w:t>Fachkreisangehöriger</w:t>
      </w:r>
      <w:r w:rsidR="00F710C5" w:rsidRPr="00F710C5">
        <w:rPr>
          <w:rFonts w:asciiTheme="minorHAnsi" w:hAnsiTheme="minorHAnsi"/>
          <w:lang w:val="de-DE"/>
        </w:rPr>
        <w:t xml:space="preserve"> (He</w:t>
      </w:r>
      <w:r w:rsidR="006C45F9" w:rsidRPr="00F710C5">
        <w:rPr>
          <w:rFonts w:asciiTheme="minorHAnsi" w:hAnsiTheme="minorHAnsi"/>
          <w:lang w:val="de-DE"/>
        </w:rPr>
        <w:t>althcare Professionals</w:t>
      </w:r>
      <w:r w:rsidR="00F710C5" w:rsidRPr="00F710C5">
        <w:rPr>
          <w:rFonts w:asciiTheme="minorHAnsi" w:hAnsiTheme="minorHAnsi"/>
          <w:lang w:val="de-DE"/>
        </w:rPr>
        <w:t>,</w:t>
      </w:r>
      <w:r w:rsidR="006C45F9" w:rsidRPr="00F710C5">
        <w:rPr>
          <w:rFonts w:asciiTheme="minorHAnsi" w:hAnsiTheme="minorHAnsi"/>
          <w:lang w:val="de-DE"/>
        </w:rPr>
        <w:t xml:space="preserve"> HCP):  </w:t>
      </w:r>
      <w:r w:rsidR="00F710C5" w:rsidRPr="00F710C5">
        <w:rPr>
          <w:rFonts w:asciiTheme="minorHAnsi" w:hAnsiTheme="minorHAnsi"/>
          <w:lang w:val="de-DE"/>
        </w:rPr>
        <w:t>D</w:t>
      </w:r>
      <w:r w:rsidR="00C26BA8" w:rsidRPr="00F710C5">
        <w:rPr>
          <w:rFonts w:asciiTheme="minorHAnsi" w:hAnsiTheme="minorHAnsi"/>
          <w:lang w:val="de-DE"/>
        </w:rPr>
        <w:t xml:space="preserve">efinition </w:t>
      </w:r>
      <w:r w:rsidR="00F710C5" w:rsidRPr="00F710C5">
        <w:rPr>
          <w:rFonts w:asciiTheme="minorHAnsi" w:hAnsiTheme="minorHAnsi"/>
          <w:lang w:val="de-DE"/>
        </w:rPr>
        <w:t>u</w:t>
      </w:r>
      <w:r w:rsidR="00C26BA8" w:rsidRPr="00F710C5">
        <w:rPr>
          <w:rFonts w:asciiTheme="minorHAnsi" w:hAnsiTheme="minorHAnsi"/>
          <w:lang w:val="de-DE"/>
        </w:rPr>
        <w:t xml:space="preserve">nd </w:t>
      </w:r>
      <w:bookmarkEnd w:id="8"/>
      <w:r w:rsidR="00F710C5">
        <w:rPr>
          <w:rFonts w:asciiTheme="minorHAnsi" w:hAnsiTheme="minorHAnsi"/>
          <w:lang w:val="de-DE"/>
        </w:rPr>
        <w:t>Geltungsbereich</w:t>
      </w:r>
      <w:bookmarkEnd w:id="9"/>
    </w:p>
    <w:p w14:paraId="072BFE2F" w14:textId="08B520B0" w:rsidR="009445A9" w:rsidRPr="000741A1" w:rsidRDefault="000741A1" w:rsidP="006B6231">
      <w:pPr>
        <w:jc w:val="both"/>
        <w:rPr>
          <w:i/>
          <w:lang w:val="de-DE"/>
        </w:rPr>
      </w:pPr>
      <w:r w:rsidRPr="000741A1">
        <w:rPr>
          <w:lang w:val="de-DE"/>
        </w:rPr>
        <w:t>In seinem Offenlegungsbericht hat Takeda die gemäß de</w:t>
      </w:r>
      <w:r w:rsidR="00735044">
        <w:rPr>
          <w:lang w:val="de-DE"/>
        </w:rPr>
        <w:t>s FSA</w:t>
      </w:r>
      <w:r w:rsidR="009C204E">
        <w:rPr>
          <w:lang w:val="de-DE"/>
        </w:rPr>
        <w:t xml:space="preserve"> </w:t>
      </w:r>
      <w:r>
        <w:rPr>
          <w:lang w:val="de-DE"/>
        </w:rPr>
        <w:t xml:space="preserve">geltenden Definitionen von </w:t>
      </w:r>
      <w:r w:rsidR="009C204E">
        <w:rPr>
          <w:lang w:val="de-DE"/>
        </w:rPr>
        <w:t>Fachkreisangehörige</w:t>
      </w:r>
      <w:r>
        <w:rPr>
          <w:lang w:val="de-DE"/>
        </w:rPr>
        <w:t xml:space="preserve">n berücksichtigt, mit denen unser Unternehmen </w:t>
      </w:r>
      <w:r w:rsidR="00171789">
        <w:rPr>
          <w:lang w:val="de-DE"/>
        </w:rPr>
        <w:t>Wertübertragungsvorgänge vornehmen kann.</w:t>
      </w:r>
      <w:r w:rsidR="001F4D75">
        <w:rPr>
          <w:lang w:val="de-DE"/>
        </w:rPr>
        <w:t xml:space="preserve"> Zu den </w:t>
      </w:r>
      <w:r w:rsidR="009C204E">
        <w:rPr>
          <w:lang w:val="de-DE"/>
        </w:rPr>
        <w:t>Fachkreisangehörige</w:t>
      </w:r>
      <w:r w:rsidR="001F4D75">
        <w:rPr>
          <w:lang w:val="de-DE"/>
        </w:rPr>
        <w:t>n zählen dabei alle in Europa ansässigen und hauptberuflich tätigen Ärzte und Apotheker sowie alle Angehörigen medizinischer, zahnmedizinischer, pharmazeutischer oder sonstiger Heilberufe und sämtliche andere Personen, die im Rahmen ihrer beruflichen Tätigkeit Humanarzneimittel verschreiben oder anwenden oder mit diesen in erlaubter Weise Handel treiben. Dies umfasst beispielsweise auch Mitarbeiter öffentlicher Stellen oder Mitarbeiter der Krankenkassen und sonstige Kostenträger, die dafür verantwortlich sind, Arzneimittel zu verschreiben, zu beziehen, zu liefern, zu verabreichen oder über die Erstattungsfähigkeit von Arzneimitteln zu entscheiden.</w:t>
      </w:r>
      <w:r w:rsidR="00171789">
        <w:rPr>
          <w:lang w:val="de-DE"/>
        </w:rPr>
        <w:t xml:space="preserve"> Bezüglich der im Offenlegungsbericht genannten Anschriften der </w:t>
      </w:r>
      <w:r w:rsidR="009C204E">
        <w:rPr>
          <w:lang w:val="de-DE"/>
        </w:rPr>
        <w:t>Fachkreisangehörigen</w:t>
      </w:r>
      <w:r w:rsidR="00171789">
        <w:rPr>
          <w:lang w:val="de-DE"/>
        </w:rPr>
        <w:t xml:space="preserve"> wird jeweils der Hauptdienstsitz des betreffenden </w:t>
      </w:r>
      <w:r w:rsidR="009C204E">
        <w:rPr>
          <w:lang w:val="de-DE"/>
        </w:rPr>
        <w:t>Fachkreisangehörigen</w:t>
      </w:r>
      <w:r w:rsidR="00171789">
        <w:rPr>
          <w:lang w:val="de-DE"/>
        </w:rPr>
        <w:t xml:space="preserve"> verwendet.</w:t>
      </w:r>
    </w:p>
    <w:p w14:paraId="6F221F4D" w14:textId="11CA5CDD" w:rsidR="007E68D4" w:rsidRPr="006B6F75" w:rsidRDefault="006B6F75" w:rsidP="005367F5">
      <w:pPr>
        <w:pStyle w:val="Heading3"/>
        <w:numPr>
          <w:ilvl w:val="2"/>
          <w:numId w:val="5"/>
        </w:numPr>
        <w:ind w:left="567" w:hanging="567"/>
        <w:jc w:val="both"/>
        <w:rPr>
          <w:rFonts w:asciiTheme="minorHAnsi" w:hAnsiTheme="minorHAnsi"/>
          <w:lang w:val="de-DE"/>
        </w:rPr>
      </w:pPr>
      <w:bookmarkStart w:id="11" w:name="_Toc311393065"/>
      <w:bookmarkStart w:id="12" w:name="_Toc453080751"/>
      <w:bookmarkEnd w:id="10"/>
      <w:r w:rsidRPr="006B6F75">
        <w:rPr>
          <w:rFonts w:asciiTheme="minorHAnsi" w:hAnsiTheme="minorHAnsi"/>
          <w:lang w:val="de-DE"/>
        </w:rPr>
        <w:lastRenderedPageBreak/>
        <w:t>Gesundheitsorganisationen (</w:t>
      </w:r>
      <w:proofErr w:type="spellStart"/>
      <w:r w:rsidRPr="006B6F75">
        <w:rPr>
          <w:rFonts w:asciiTheme="minorHAnsi" w:hAnsiTheme="minorHAnsi"/>
          <w:lang w:val="de-DE"/>
        </w:rPr>
        <w:t>H</w:t>
      </w:r>
      <w:r w:rsidR="00143F4E">
        <w:rPr>
          <w:rFonts w:asciiTheme="minorHAnsi" w:hAnsiTheme="minorHAnsi"/>
          <w:lang w:val="de-DE"/>
        </w:rPr>
        <w:t>ealthcare</w:t>
      </w:r>
      <w:proofErr w:type="spellEnd"/>
      <w:r w:rsidR="00143F4E">
        <w:rPr>
          <w:rFonts w:asciiTheme="minorHAnsi" w:hAnsiTheme="minorHAnsi"/>
          <w:lang w:val="de-DE"/>
        </w:rPr>
        <w:t xml:space="preserve"> </w:t>
      </w:r>
      <w:proofErr w:type="spellStart"/>
      <w:r w:rsidR="00143F4E">
        <w:rPr>
          <w:rFonts w:asciiTheme="minorHAnsi" w:hAnsiTheme="minorHAnsi"/>
          <w:lang w:val="de-DE"/>
        </w:rPr>
        <w:t>Organiz</w:t>
      </w:r>
      <w:r w:rsidR="006C45F9" w:rsidRPr="006B6F75">
        <w:rPr>
          <w:rFonts w:asciiTheme="minorHAnsi" w:hAnsiTheme="minorHAnsi"/>
          <w:lang w:val="de-DE"/>
        </w:rPr>
        <w:t>ations</w:t>
      </w:r>
      <w:proofErr w:type="spellEnd"/>
      <w:r>
        <w:rPr>
          <w:rFonts w:asciiTheme="minorHAnsi" w:hAnsiTheme="minorHAnsi"/>
          <w:lang w:val="de-DE"/>
        </w:rPr>
        <w:t xml:space="preserve">, </w:t>
      </w:r>
      <w:r w:rsidR="006C45F9" w:rsidRPr="006B6F75">
        <w:rPr>
          <w:rFonts w:asciiTheme="minorHAnsi" w:hAnsiTheme="minorHAnsi"/>
          <w:lang w:val="de-DE"/>
        </w:rPr>
        <w:t xml:space="preserve">HCO): </w:t>
      </w:r>
      <w:r>
        <w:rPr>
          <w:rFonts w:asciiTheme="minorHAnsi" w:hAnsiTheme="minorHAnsi"/>
          <w:lang w:val="de-DE"/>
        </w:rPr>
        <w:t>D</w:t>
      </w:r>
      <w:r w:rsidR="00C26BA8" w:rsidRPr="006B6F75">
        <w:rPr>
          <w:rFonts w:asciiTheme="minorHAnsi" w:hAnsiTheme="minorHAnsi"/>
          <w:lang w:val="de-DE"/>
        </w:rPr>
        <w:t xml:space="preserve">efinition </w:t>
      </w:r>
      <w:r>
        <w:rPr>
          <w:rFonts w:asciiTheme="minorHAnsi" w:hAnsiTheme="minorHAnsi"/>
          <w:lang w:val="de-DE"/>
        </w:rPr>
        <w:t>u</w:t>
      </w:r>
      <w:r w:rsidR="00C26BA8" w:rsidRPr="006B6F75">
        <w:rPr>
          <w:rFonts w:asciiTheme="minorHAnsi" w:hAnsiTheme="minorHAnsi"/>
          <w:lang w:val="de-DE"/>
        </w:rPr>
        <w:t xml:space="preserve">nd </w:t>
      </w:r>
      <w:bookmarkEnd w:id="11"/>
      <w:r>
        <w:rPr>
          <w:rFonts w:asciiTheme="minorHAnsi" w:hAnsiTheme="minorHAnsi"/>
          <w:lang w:val="de-DE"/>
        </w:rPr>
        <w:t>Geltungsbereich</w:t>
      </w:r>
      <w:bookmarkEnd w:id="12"/>
    </w:p>
    <w:p w14:paraId="2535DD3A" w14:textId="34886B24" w:rsidR="00875F68" w:rsidRPr="000741A1" w:rsidRDefault="00875F68" w:rsidP="00875F68">
      <w:pPr>
        <w:jc w:val="both"/>
        <w:rPr>
          <w:i/>
          <w:lang w:val="de-DE"/>
        </w:rPr>
      </w:pPr>
      <w:r w:rsidRPr="000741A1">
        <w:rPr>
          <w:lang w:val="de-DE"/>
        </w:rPr>
        <w:t>In seinem Offenlegungsbericht hat Takeda die folgenden gemäß de</w:t>
      </w:r>
      <w:r w:rsidR="00735044">
        <w:rPr>
          <w:lang w:val="de-DE"/>
        </w:rPr>
        <w:t>s FSA</w:t>
      </w:r>
      <w:r w:rsidRPr="000741A1">
        <w:rPr>
          <w:lang w:val="de-DE"/>
        </w:rPr>
        <w:t xml:space="preserve"> </w:t>
      </w:r>
      <w:r>
        <w:rPr>
          <w:lang w:val="de-DE"/>
        </w:rPr>
        <w:t>geltenden Definitionen von Gesundheitsorganisationen berücksichtigt, mit denen unser Unternehmen Wertübertragungsvorgänge vornehmen kann</w:t>
      </w:r>
      <w:r w:rsidR="00735044">
        <w:rPr>
          <w:lang w:val="de-DE"/>
        </w:rPr>
        <w:t>. Gesundheitsorganisationen sind ungeachtet ihrer jeweiligen rechtlichen Organisationsform alle medizinischen oder wissenschaftlichen Institutionen oder Vereinigungen mit Sitz in Europa, die sich aus Angehörigen der Fachkreise zusammensetzen,</w:t>
      </w:r>
      <w:r>
        <w:rPr>
          <w:lang w:val="de-DE"/>
        </w:rPr>
        <w:t xml:space="preserve"> so z. B.  folgende Organisationen: </w:t>
      </w:r>
      <w:r>
        <w:rPr>
          <w:i/>
          <w:lang w:val="de-DE"/>
        </w:rPr>
        <w:t>Verbände, Krankenhausgesellschaften</w:t>
      </w:r>
      <w:r w:rsidRPr="00875F68">
        <w:rPr>
          <w:i/>
          <w:lang w:val="de-DE"/>
        </w:rPr>
        <w:t>,</w:t>
      </w:r>
      <w:r>
        <w:rPr>
          <w:i/>
          <w:lang w:val="de-DE"/>
        </w:rPr>
        <w:t xml:space="preserve"> Krankenhausabteilungen</w:t>
      </w:r>
      <w:r w:rsidRPr="00875F68">
        <w:rPr>
          <w:i/>
          <w:lang w:val="de-DE"/>
        </w:rPr>
        <w:t xml:space="preserve">, </w:t>
      </w:r>
      <w:r>
        <w:rPr>
          <w:i/>
          <w:lang w:val="de-DE"/>
        </w:rPr>
        <w:t>Ausbildungseinrichtungen für Pflegeberufe</w:t>
      </w:r>
      <w:r w:rsidRPr="00875F68">
        <w:rPr>
          <w:i/>
          <w:lang w:val="de-DE"/>
        </w:rPr>
        <w:t xml:space="preserve">, </w:t>
      </w:r>
      <w:r>
        <w:rPr>
          <w:i/>
          <w:lang w:val="de-DE"/>
        </w:rPr>
        <w:t>K</w:t>
      </w:r>
      <w:r w:rsidRPr="00875F68">
        <w:rPr>
          <w:i/>
          <w:lang w:val="de-DE"/>
        </w:rPr>
        <w:t>lini</w:t>
      </w:r>
      <w:r>
        <w:rPr>
          <w:i/>
          <w:lang w:val="de-DE"/>
        </w:rPr>
        <w:t>ken</w:t>
      </w:r>
      <w:r w:rsidRPr="00875F68">
        <w:rPr>
          <w:i/>
          <w:lang w:val="de-DE"/>
        </w:rPr>
        <w:t xml:space="preserve">, </w:t>
      </w:r>
      <w:r>
        <w:rPr>
          <w:i/>
          <w:lang w:val="de-DE"/>
        </w:rPr>
        <w:t>Zahnk</w:t>
      </w:r>
      <w:r w:rsidRPr="00875F68">
        <w:rPr>
          <w:i/>
          <w:lang w:val="de-DE"/>
        </w:rPr>
        <w:t>lini</w:t>
      </w:r>
      <w:r>
        <w:rPr>
          <w:i/>
          <w:lang w:val="de-DE"/>
        </w:rPr>
        <w:t>ken, Krankenhausapotheken</w:t>
      </w:r>
      <w:r w:rsidRPr="00875F68">
        <w:rPr>
          <w:i/>
          <w:lang w:val="de-DE"/>
        </w:rPr>
        <w:t>, Institution</w:t>
      </w:r>
      <w:r>
        <w:rPr>
          <w:i/>
          <w:lang w:val="de-DE"/>
        </w:rPr>
        <w:t>en</w:t>
      </w:r>
      <w:r w:rsidRPr="00875F68">
        <w:rPr>
          <w:i/>
          <w:lang w:val="de-DE"/>
        </w:rPr>
        <w:t>, Fa</w:t>
      </w:r>
      <w:r>
        <w:rPr>
          <w:i/>
          <w:lang w:val="de-DE"/>
        </w:rPr>
        <w:t>k</w:t>
      </w:r>
      <w:r w:rsidRPr="00875F68">
        <w:rPr>
          <w:i/>
          <w:lang w:val="de-DE"/>
        </w:rPr>
        <w:t>ult</w:t>
      </w:r>
      <w:r>
        <w:rPr>
          <w:i/>
          <w:lang w:val="de-DE"/>
        </w:rPr>
        <w:t>äten</w:t>
      </w:r>
      <w:r w:rsidRPr="00875F68">
        <w:rPr>
          <w:i/>
          <w:lang w:val="de-DE"/>
        </w:rPr>
        <w:t>, Universit</w:t>
      </w:r>
      <w:r>
        <w:rPr>
          <w:i/>
          <w:lang w:val="de-DE"/>
        </w:rPr>
        <w:t>äten, Hochschulen, Stiftungen</w:t>
      </w:r>
      <w:r w:rsidR="00F63285">
        <w:rPr>
          <w:i/>
          <w:lang w:val="de-DE"/>
        </w:rPr>
        <w:t>, Zusammenschlüsse</w:t>
      </w:r>
      <w:r w:rsidR="00884274">
        <w:rPr>
          <w:i/>
          <w:lang w:val="de-DE"/>
        </w:rPr>
        <w:t>n</w:t>
      </w:r>
      <w:r w:rsidR="00F63285">
        <w:rPr>
          <w:i/>
          <w:lang w:val="de-DE"/>
        </w:rPr>
        <w:t xml:space="preserve"> von Apotheken, G</w:t>
      </w:r>
      <w:r w:rsidRPr="00875F68">
        <w:rPr>
          <w:i/>
          <w:lang w:val="de-DE"/>
        </w:rPr>
        <w:t>e</w:t>
      </w:r>
      <w:r w:rsidR="00F63285">
        <w:rPr>
          <w:i/>
          <w:lang w:val="de-DE"/>
        </w:rPr>
        <w:t>sundheitseinrichtungen</w:t>
      </w:r>
      <w:r>
        <w:rPr>
          <w:lang w:val="de-DE"/>
        </w:rPr>
        <w:t xml:space="preserve">. Bezüglich der im Offenlegungsbericht </w:t>
      </w:r>
      <w:r w:rsidR="00F63285">
        <w:rPr>
          <w:lang w:val="de-DE"/>
        </w:rPr>
        <w:t>veröffentlichten</w:t>
      </w:r>
      <w:r>
        <w:rPr>
          <w:lang w:val="de-DE"/>
        </w:rPr>
        <w:t xml:space="preserve"> Anschriften der </w:t>
      </w:r>
      <w:r w:rsidR="00F63285">
        <w:rPr>
          <w:lang w:val="de-DE"/>
        </w:rPr>
        <w:t>Gesundheitsorganisationen</w:t>
      </w:r>
      <w:r>
        <w:rPr>
          <w:lang w:val="de-DE"/>
        </w:rPr>
        <w:t xml:space="preserve"> wird jeweils der </w:t>
      </w:r>
      <w:r w:rsidR="00F63285">
        <w:rPr>
          <w:lang w:val="de-DE"/>
        </w:rPr>
        <w:t>öffentlich</w:t>
      </w:r>
      <w:r w:rsidR="00884274">
        <w:rPr>
          <w:lang w:val="de-DE"/>
        </w:rPr>
        <w:t xml:space="preserve"> genannte</w:t>
      </w:r>
      <w:r w:rsidR="00F63285">
        <w:rPr>
          <w:lang w:val="de-DE"/>
        </w:rPr>
        <w:t xml:space="preserve"> </w:t>
      </w:r>
      <w:r>
        <w:rPr>
          <w:lang w:val="de-DE"/>
        </w:rPr>
        <w:t>Hauptdienstsitz de</w:t>
      </w:r>
      <w:r w:rsidR="00F63285">
        <w:rPr>
          <w:lang w:val="de-DE"/>
        </w:rPr>
        <w:t>r</w:t>
      </w:r>
      <w:r>
        <w:rPr>
          <w:lang w:val="de-DE"/>
        </w:rPr>
        <w:t xml:space="preserve"> betreffenden </w:t>
      </w:r>
      <w:r w:rsidR="00F63285">
        <w:rPr>
          <w:lang w:val="de-DE"/>
        </w:rPr>
        <w:t xml:space="preserve">Gesundheitsorganisation </w:t>
      </w:r>
      <w:r>
        <w:rPr>
          <w:lang w:val="de-DE"/>
        </w:rPr>
        <w:t>verwendet.</w:t>
      </w:r>
    </w:p>
    <w:p w14:paraId="2C5F357F" w14:textId="6396A49C" w:rsidR="009445A9" w:rsidRPr="00875F68" w:rsidRDefault="009445A9" w:rsidP="006B6231">
      <w:pPr>
        <w:jc w:val="both"/>
        <w:rPr>
          <w:lang w:val="de-DE"/>
        </w:rPr>
      </w:pPr>
    </w:p>
    <w:p w14:paraId="52E4D87E" w14:textId="0F3488F9" w:rsidR="009445A9" w:rsidRPr="006F3B23" w:rsidRDefault="00CC78C5" w:rsidP="005367F5">
      <w:pPr>
        <w:pStyle w:val="Heading3"/>
        <w:numPr>
          <w:ilvl w:val="2"/>
          <w:numId w:val="5"/>
        </w:numPr>
        <w:ind w:left="567" w:hanging="567"/>
        <w:jc w:val="both"/>
        <w:rPr>
          <w:rFonts w:asciiTheme="minorHAnsi" w:hAnsiTheme="minorHAnsi"/>
          <w:lang w:val="de-DE"/>
        </w:rPr>
      </w:pPr>
      <w:bookmarkStart w:id="13" w:name="_Toc311393083"/>
      <w:bookmarkStart w:id="14" w:name="_Toc453080752"/>
      <w:r w:rsidRPr="006F3B23">
        <w:rPr>
          <w:rFonts w:asciiTheme="minorHAnsi" w:hAnsiTheme="minorHAnsi"/>
          <w:lang w:val="de-DE"/>
        </w:rPr>
        <w:t xml:space="preserve">Unternehmen im Besitz eines </w:t>
      </w:r>
      <w:r w:rsidR="009C204E" w:rsidRPr="006F3B23">
        <w:rPr>
          <w:rFonts w:asciiTheme="minorHAnsi" w:hAnsiTheme="minorHAnsi"/>
          <w:lang w:val="de-DE"/>
        </w:rPr>
        <w:t>Fachkreisangehörige</w:t>
      </w:r>
      <w:bookmarkEnd w:id="13"/>
      <w:r w:rsidR="009C204E" w:rsidRPr="006F3B23">
        <w:rPr>
          <w:rFonts w:asciiTheme="minorHAnsi" w:hAnsiTheme="minorHAnsi"/>
          <w:lang w:val="de-DE"/>
        </w:rPr>
        <w:t>n</w:t>
      </w:r>
      <w:bookmarkEnd w:id="14"/>
    </w:p>
    <w:p w14:paraId="1101B4AE" w14:textId="5AC6BFC0" w:rsidR="006F3B23" w:rsidRPr="006F3B23" w:rsidRDefault="006F3B23" w:rsidP="007B0F61">
      <w:pPr>
        <w:jc w:val="both"/>
        <w:rPr>
          <w:lang w:val="de-DE"/>
        </w:rPr>
      </w:pPr>
      <w:r w:rsidRPr="006F3B23">
        <w:rPr>
          <w:lang w:val="de-DE"/>
        </w:rPr>
        <w:t xml:space="preserve">Sofern eine Wertübertragung an ein Unternehmen (HCO) mittelbar einem Fachkreisangehörigen zugeordnet werden kann, erfolgt eine Offenlegung in Zurechnung des betreffenden Fachkreisangehörigen. Setzt sich die HCO hingegen aus mehreren Fachkreisangehörigen zusammen, so erfolgt die Meldung der Wertübertragung entsprechend einer </w:t>
      </w:r>
      <w:r w:rsidRPr="006F3B23">
        <w:rPr>
          <w:rFonts w:eastAsiaTheme="majorEastAsia" w:cstheme="majorBidi"/>
          <w:bCs/>
          <w:color w:val="000000" w:themeColor="text1"/>
          <w:lang w:val="de-DE"/>
        </w:rPr>
        <w:t>Meldung von Wertübertragungen an eine Gesundheitsorganisation.</w:t>
      </w:r>
    </w:p>
    <w:p w14:paraId="097D3FD2" w14:textId="77777777" w:rsidR="006F3B23" w:rsidRDefault="006F3B23" w:rsidP="008714FE">
      <w:pPr>
        <w:rPr>
          <w:highlight w:val="yellow"/>
          <w:lang w:val="de-DE"/>
        </w:rPr>
      </w:pPr>
    </w:p>
    <w:p w14:paraId="348D8AFF" w14:textId="110F3D4B" w:rsidR="00B53254" w:rsidRPr="00C0602C" w:rsidRDefault="00794A1F" w:rsidP="00C0602C">
      <w:pPr>
        <w:pStyle w:val="Heading3"/>
        <w:numPr>
          <w:ilvl w:val="2"/>
          <w:numId w:val="5"/>
        </w:numPr>
        <w:ind w:left="567" w:hanging="567"/>
        <w:jc w:val="both"/>
        <w:rPr>
          <w:b w:val="0"/>
        </w:rPr>
      </w:pPr>
      <w:bookmarkStart w:id="15" w:name="_Toc408833765"/>
      <w:bookmarkStart w:id="16" w:name="_Toc311393082"/>
      <w:bookmarkStart w:id="17" w:name="_Toc453080753"/>
      <w:r>
        <w:rPr>
          <w:rFonts w:asciiTheme="minorHAnsi" w:hAnsiTheme="minorHAnsi"/>
        </w:rPr>
        <w:t>Eindeutig identifizierbarer Empfänger</w:t>
      </w:r>
      <w:bookmarkStart w:id="18" w:name="_Toc408833766"/>
      <w:bookmarkEnd w:id="15"/>
      <w:bookmarkEnd w:id="16"/>
      <w:bookmarkEnd w:id="17"/>
    </w:p>
    <w:p w14:paraId="7834D4F0" w14:textId="02D7ED7B" w:rsidR="00B53254" w:rsidRDefault="00794A1F" w:rsidP="005367F5">
      <w:pPr>
        <w:jc w:val="both"/>
        <w:rPr>
          <w:lang w:val="de-DE"/>
        </w:rPr>
      </w:pPr>
      <w:r w:rsidRPr="00A36B06">
        <w:rPr>
          <w:lang w:val="de-DE"/>
        </w:rPr>
        <w:t xml:space="preserve">Das Unternehmen Takeda hat ein internes Verfahren eingerichtet, </w:t>
      </w:r>
      <w:r w:rsidR="00A36B06" w:rsidRPr="00A36B06">
        <w:rPr>
          <w:lang w:val="de-DE"/>
        </w:rPr>
        <w:t xml:space="preserve">um sicherzustellen, dass die Wertübertragungsvorgänge den richtigen </w:t>
      </w:r>
      <w:r w:rsidR="009C204E">
        <w:rPr>
          <w:lang w:val="de-DE"/>
        </w:rPr>
        <w:t>Fachkreisangehörige</w:t>
      </w:r>
      <w:r w:rsidR="00A36B06" w:rsidRPr="00A36B06">
        <w:rPr>
          <w:lang w:val="de-DE"/>
        </w:rPr>
        <w:t xml:space="preserve">n bzw. </w:t>
      </w:r>
      <w:r w:rsidR="00F671C7">
        <w:rPr>
          <w:lang w:val="de-DE"/>
        </w:rPr>
        <w:t>der</w:t>
      </w:r>
      <w:r w:rsidR="009C204E">
        <w:rPr>
          <w:lang w:val="de-DE"/>
        </w:rPr>
        <w:t xml:space="preserve"> richtige</w:t>
      </w:r>
      <w:r w:rsidR="00F671C7">
        <w:rPr>
          <w:lang w:val="de-DE"/>
        </w:rPr>
        <w:t>n</w:t>
      </w:r>
      <w:r w:rsidR="009C204E">
        <w:rPr>
          <w:lang w:val="de-DE"/>
        </w:rPr>
        <w:t xml:space="preserve"> </w:t>
      </w:r>
      <w:r w:rsidR="00A36B06">
        <w:rPr>
          <w:lang w:val="de-DE"/>
        </w:rPr>
        <w:t>Gesundheitsorganisationen zugewiesen werden und die offengelegten Angaben korrekt und vollständig sind (z. B. Name, Anschrift, Land der überwiegenden Tätigkeitsausübung).</w:t>
      </w:r>
    </w:p>
    <w:p w14:paraId="38BCB447" w14:textId="77777777" w:rsidR="00F671C7" w:rsidRPr="00A36B06" w:rsidRDefault="00F671C7" w:rsidP="005367F5">
      <w:pPr>
        <w:jc w:val="both"/>
        <w:rPr>
          <w:lang w:val="de-DE"/>
        </w:rPr>
      </w:pPr>
    </w:p>
    <w:p w14:paraId="19944B14" w14:textId="2F711C08" w:rsidR="001E1973" w:rsidRPr="00724A0F" w:rsidRDefault="001E1973" w:rsidP="00F9125E">
      <w:pPr>
        <w:pStyle w:val="Heading2"/>
        <w:numPr>
          <w:ilvl w:val="1"/>
          <w:numId w:val="5"/>
        </w:numPr>
        <w:ind w:hanging="574"/>
        <w:jc w:val="both"/>
        <w:rPr>
          <w:rFonts w:asciiTheme="minorHAnsi" w:hAnsiTheme="minorHAnsi"/>
        </w:rPr>
      </w:pPr>
      <w:bookmarkStart w:id="19" w:name="_Toc311393066"/>
      <w:bookmarkStart w:id="20" w:name="_Toc313555992"/>
      <w:bookmarkStart w:id="21" w:name="_Toc453080754"/>
      <w:bookmarkEnd w:id="18"/>
      <w:r w:rsidRPr="00724A0F">
        <w:rPr>
          <w:rFonts w:asciiTheme="minorHAnsi" w:hAnsiTheme="minorHAnsi"/>
        </w:rPr>
        <w:t>Medi</w:t>
      </w:r>
      <w:r w:rsidR="00A36B06">
        <w:rPr>
          <w:rFonts w:asciiTheme="minorHAnsi" w:hAnsiTheme="minorHAnsi"/>
        </w:rPr>
        <w:t>z</w:t>
      </w:r>
      <w:r w:rsidRPr="00724A0F">
        <w:rPr>
          <w:rFonts w:asciiTheme="minorHAnsi" w:hAnsiTheme="minorHAnsi"/>
        </w:rPr>
        <w:t>in</w:t>
      </w:r>
      <w:r w:rsidR="00A36B06">
        <w:rPr>
          <w:rFonts w:asciiTheme="minorHAnsi" w:hAnsiTheme="minorHAnsi"/>
        </w:rPr>
        <w:t>i</w:t>
      </w:r>
      <w:r w:rsidRPr="00724A0F">
        <w:rPr>
          <w:rFonts w:asciiTheme="minorHAnsi" w:hAnsiTheme="minorHAnsi"/>
        </w:rPr>
        <w:t>s</w:t>
      </w:r>
      <w:r w:rsidR="00A36B06">
        <w:rPr>
          <w:rFonts w:asciiTheme="minorHAnsi" w:hAnsiTheme="minorHAnsi"/>
        </w:rPr>
        <w:t>ch</w:t>
      </w:r>
      <w:r w:rsidRPr="00724A0F">
        <w:rPr>
          <w:rFonts w:asciiTheme="minorHAnsi" w:hAnsiTheme="minorHAnsi"/>
        </w:rPr>
        <w:t>e</w:t>
      </w:r>
      <w:bookmarkEnd w:id="19"/>
      <w:bookmarkEnd w:id="20"/>
      <w:r w:rsidR="00A36B06">
        <w:rPr>
          <w:rFonts w:asciiTheme="minorHAnsi" w:hAnsiTheme="minorHAnsi"/>
        </w:rPr>
        <w:t>r Geltungsbereich</w:t>
      </w:r>
      <w:bookmarkEnd w:id="21"/>
    </w:p>
    <w:p w14:paraId="161C9EC7" w14:textId="070A7BF9" w:rsidR="00F671C7" w:rsidRDefault="00A36B06" w:rsidP="009C204E">
      <w:pPr>
        <w:jc w:val="both"/>
        <w:rPr>
          <w:lang w:val="de-DE"/>
        </w:rPr>
      </w:pPr>
      <w:r w:rsidRPr="00A36B06">
        <w:rPr>
          <w:lang w:val="de-DE"/>
        </w:rPr>
        <w:t>Dieser Bericht be</w:t>
      </w:r>
      <w:r w:rsidR="00DE2C33">
        <w:rPr>
          <w:lang w:val="de-DE"/>
        </w:rPr>
        <w:t xml:space="preserve">inhaltet </w:t>
      </w:r>
      <w:r w:rsidR="00735044">
        <w:rPr>
          <w:lang w:val="de-DE"/>
        </w:rPr>
        <w:t xml:space="preserve">alle Aktivitäten mit HCPs und HCOs, unabhängig </w:t>
      </w:r>
      <w:r w:rsidR="00DE2C33">
        <w:rPr>
          <w:lang w:val="de-DE"/>
        </w:rPr>
        <w:t>davon</w:t>
      </w:r>
      <w:r w:rsidR="003B3BAC">
        <w:rPr>
          <w:lang w:val="de-DE"/>
        </w:rPr>
        <w:t>,</w:t>
      </w:r>
      <w:r w:rsidR="00DE2C33">
        <w:rPr>
          <w:lang w:val="de-DE"/>
        </w:rPr>
        <w:t xml:space="preserve"> ob sich die Zusammenarbeit </w:t>
      </w:r>
      <w:r w:rsidRPr="00A36B06">
        <w:rPr>
          <w:lang w:val="de-DE"/>
        </w:rPr>
        <w:t>auf verschreibungspflichtige</w:t>
      </w:r>
      <w:r w:rsidR="009C204E">
        <w:rPr>
          <w:lang w:val="de-DE"/>
        </w:rPr>
        <w:t xml:space="preserve"> </w:t>
      </w:r>
      <w:r w:rsidR="00DE2C33">
        <w:rPr>
          <w:lang w:val="de-DE"/>
        </w:rPr>
        <w:t>oder</w:t>
      </w:r>
      <w:r w:rsidRPr="00A36B06">
        <w:rPr>
          <w:lang w:val="de-DE"/>
        </w:rPr>
        <w:t xml:space="preserve"> auf rezeptfreie Medikamente</w:t>
      </w:r>
      <w:r w:rsidR="00DE2C33">
        <w:rPr>
          <w:lang w:val="de-DE"/>
        </w:rPr>
        <w:t xml:space="preserve"> bezieht.</w:t>
      </w:r>
      <w:r w:rsidRPr="00A36B06">
        <w:rPr>
          <w:lang w:val="de-DE"/>
        </w:rPr>
        <w:t xml:space="preserve"> </w:t>
      </w:r>
      <w:bookmarkStart w:id="22" w:name="_Toc311393067"/>
      <w:bookmarkStart w:id="23" w:name="_Toc313555993"/>
    </w:p>
    <w:p w14:paraId="29B20825" w14:textId="77777777" w:rsidR="00F671C7" w:rsidRDefault="00F671C7" w:rsidP="009C204E">
      <w:pPr>
        <w:jc w:val="both"/>
        <w:rPr>
          <w:lang w:val="de-DE"/>
        </w:rPr>
      </w:pPr>
    </w:p>
    <w:p w14:paraId="15044EE3" w14:textId="2FAEB740" w:rsidR="00F671C7" w:rsidRPr="00724A0F" w:rsidRDefault="00F671C7" w:rsidP="00F9125E">
      <w:pPr>
        <w:pStyle w:val="Heading2"/>
        <w:numPr>
          <w:ilvl w:val="1"/>
          <w:numId w:val="5"/>
        </w:numPr>
        <w:ind w:left="567" w:hanging="567"/>
        <w:jc w:val="both"/>
        <w:rPr>
          <w:rFonts w:asciiTheme="minorHAnsi" w:hAnsiTheme="minorHAnsi"/>
        </w:rPr>
      </w:pPr>
      <w:r w:rsidRPr="00C66471">
        <w:rPr>
          <w:rFonts w:asciiTheme="minorHAnsi" w:hAnsiTheme="minorHAnsi"/>
          <w:lang w:val="de-DE"/>
        </w:rPr>
        <w:t xml:space="preserve"> </w:t>
      </w:r>
      <w:bookmarkStart w:id="24" w:name="_Toc453080755"/>
      <w:r>
        <w:rPr>
          <w:rFonts w:asciiTheme="minorHAnsi" w:hAnsiTheme="minorHAnsi"/>
        </w:rPr>
        <w:t>Geltungsbereich hinsichtlich der Aktivitäten</w:t>
      </w:r>
      <w:bookmarkEnd w:id="24"/>
    </w:p>
    <w:bookmarkEnd w:id="22"/>
    <w:bookmarkEnd w:id="23"/>
    <w:p w14:paraId="377E91CB" w14:textId="30BE3A43" w:rsidR="005830E6" w:rsidRPr="002F3B6F" w:rsidRDefault="002F3B6F" w:rsidP="00FD7DFC">
      <w:pPr>
        <w:jc w:val="both"/>
        <w:rPr>
          <w:lang w:val="de-DE"/>
        </w:rPr>
      </w:pPr>
      <w:r w:rsidRPr="002F3B6F">
        <w:rPr>
          <w:lang w:val="de-DE"/>
        </w:rPr>
        <w:t xml:space="preserve">Zwischen den Unternehmen können die Definitionen in Bezug auf die betreffenden Aktivitäten durchaus </w:t>
      </w:r>
      <w:r w:rsidR="003B3BAC">
        <w:rPr>
          <w:lang w:val="de-DE"/>
        </w:rPr>
        <w:t>etwas abweichen</w:t>
      </w:r>
      <w:r w:rsidRPr="002F3B6F">
        <w:rPr>
          <w:lang w:val="de-DE"/>
        </w:rPr>
        <w:t xml:space="preserve">. </w:t>
      </w:r>
      <w:r>
        <w:rPr>
          <w:lang w:val="de-DE"/>
        </w:rPr>
        <w:t xml:space="preserve">Innerhalb der Takeda-Gruppe werden sämtliche unserer </w:t>
      </w:r>
      <w:r w:rsidR="00532C54">
        <w:rPr>
          <w:lang w:val="de-DE"/>
        </w:rPr>
        <w:t xml:space="preserve">Beziehungen zu </w:t>
      </w:r>
      <w:r w:rsidR="009C204E">
        <w:rPr>
          <w:lang w:val="de-DE"/>
        </w:rPr>
        <w:t>Fachkreisangehörige</w:t>
      </w:r>
      <w:r w:rsidR="00532C54">
        <w:rPr>
          <w:lang w:val="de-DE"/>
        </w:rPr>
        <w:t xml:space="preserve">n durch interne Richtlinien und Standardarbeitsanweisungen (Standard Operating Procedures, SOPs) geregelt, die entsprechend den branchenspezifischen Kodizes und Richtlinien sowie im Einklang mit </w:t>
      </w:r>
      <w:r w:rsidR="007B0F61">
        <w:rPr>
          <w:lang w:val="de-DE"/>
        </w:rPr>
        <w:t>den jeweils</w:t>
      </w:r>
      <w:r w:rsidR="00E51A95">
        <w:rPr>
          <w:lang w:val="de-DE"/>
        </w:rPr>
        <w:t xml:space="preserve"> geltenden landesspezifischen Gesetzen, Bestimmungen und lokalen branchenspezifischen Anforderungen </w:t>
      </w:r>
      <w:r w:rsidR="006F3A2F">
        <w:rPr>
          <w:lang w:val="de-DE"/>
        </w:rPr>
        <w:t>erstell</w:t>
      </w:r>
      <w:r w:rsidR="00E51A95">
        <w:rPr>
          <w:lang w:val="de-DE"/>
        </w:rPr>
        <w:t>t</w:t>
      </w:r>
      <w:r w:rsidR="006F3A2F">
        <w:rPr>
          <w:lang w:val="de-DE"/>
        </w:rPr>
        <w:t xml:space="preserve"> worden sind</w:t>
      </w:r>
      <w:r w:rsidR="00E51A95">
        <w:rPr>
          <w:lang w:val="de-DE"/>
        </w:rPr>
        <w:t xml:space="preserve">. Nachfolgend finden Sie </w:t>
      </w:r>
      <w:r w:rsidR="006F3A2F">
        <w:rPr>
          <w:lang w:val="de-DE"/>
        </w:rPr>
        <w:t xml:space="preserve">eine Auflistung </w:t>
      </w:r>
      <w:r w:rsidR="00E51A95">
        <w:rPr>
          <w:lang w:val="de-DE"/>
        </w:rPr>
        <w:t>unser</w:t>
      </w:r>
      <w:r w:rsidR="00DE2C33">
        <w:rPr>
          <w:lang w:val="de-DE"/>
        </w:rPr>
        <w:t>er</w:t>
      </w:r>
      <w:r w:rsidR="00E51A95">
        <w:rPr>
          <w:lang w:val="de-DE"/>
        </w:rPr>
        <w:t xml:space="preserve"> unternehmensinternen Definitionen, die Ihnen das Verständnis unseres Offenlegungsberichts erleichtern.</w:t>
      </w:r>
    </w:p>
    <w:p w14:paraId="3319D98E" w14:textId="42E8073E" w:rsidR="00067B68" w:rsidRPr="00415C19" w:rsidRDefault="00415C19" w:rsidP="00F9125E">
      <w:pPr>
        <w:pStyle w:val="Heading3"/>
        <w:numPr>
          <w:ilvl w:val="2"/>
          <w:numId w:val="45"/>
        </w:numPr>
        <w:ind w:left="567" w:hanging="567"/>
        <w:jc w:val="both"/>
        <w:rPr>
          <w:rFonts w:asciiTheme="minorHAnsi" w:hAnsiTheme="minorHAnsi"/>
          <w:lang w:val="de-DE"/>
        </w:rPr>
      </w:pPr>
      <w:bookmarkStart w:id="25" w:name="_Toc408833750"/>
      <w:bookmarkStart w:id="26" w:name="_Toc311393069"/>
      <w:bookmarkStart w:id="27" w:name="_Toc313555994"/>
      <w:bookmarkStart w:id="28" w:name="_Toc453080756"/>
      <w:bookmarkStart w:id="29" w:name="_Toc408833751"/>
      <w:r w:rsidRPr="00415C19">
        <w:rPr>
          <w:rFonts w:asciiTheme="minorHAnsi" w:hAnsiTheme="minorHAnsi"/>
          <w:lang w:val="de-DE"/>
        </w:rPr>
        <w:t xml:space="preserve">Spenden und </w:t>
      </w:r>
      <w:r w:rsidR="006619B0">
        <w:rPr>
          <w:rFonts w:asciiTheme="minorHAnsi" w:hAnsiTheme="minorHAnsi"/>
          <w:lang w:val="de-DE"/>
        </w:rPr>
        <w:t>Leistungen</w:t>
      </w:r>
      <w:r w:rsidRPr="00415C19">
        <w:rPr>
          <w:rFonts w:asciiTheme="minorHAnsi" w:hAnsiTheme="minorHAnsi"/>
          <w:lang w:val="de-DE"/>
        </w:rPr>
        <w:t xml:space="preserve"> an Gesundheitsorganisationen</w:t>
      </w:r>
      <w:bookmarkEnd w:id="25"/>
      <w:bookmarkEnd w:id="26"/>
      <w:bookmarkEnd w:id="27"/>
      <w:r w:rsidRPr="00415C19">
        <w:rPr>
          <w:rFonts w:asciiTheme="minorHAnsi" w:hAnsiTheme="minorHAnsi"/>
          <w:lang w:val="de-DE"/>
        </w:rPr>
        <w:t xml:space="preserve"> (HCO)</w:t>
      </w:r>
      <w:bookmarkEnd w:id="28"/>
    </w:p>
    <w:p w14:paraId="57418421" w14:textId="0239CCAB" w:rsidR="00416834" w:rsidRPr="00415C19" w:rsidRDefault="00415C19" w:rsidP="004525A3">
      <w:pPr>
        <w:jc w:val="both"/>
        <w:rPr>
          <w:lang w:val="de-DE"/>
        </w:rPr>
      </w:pPr>
      <w:r w:rsidRPr="00415C19">
        <w:rPr>
          <w:lang w:val="de-DE"/>
        </w:rPr>
        <w:t xml:space="preserve">Sämtliche zwischen dem Unternehmen Takeda und einer Gesundheitsorganisation vorgenommenen Wertübertragungen in Verbindung mit einer Spende oder </w:t>
      </w:r>
      <w:r w:rsidR="00CF0E43">
        <w:rPr>
          <w:lang w:val="de-DE"/>
        </w:rPr>
        <w:t>Leistung</w:t>
      </w:r>
      <w:r w:rsidRPr="00415C19">
        <w:rPr>
          <w:lang w:val="de-DE"/>
        </w:rPr>
        <w:t xml:space="preserve"> werden vom Geltungsbereich der </w:t>
      </w:r>
      <w:r w:rsidRPr="00415C19">
        <w:rPr>
          <w:lang w:val="de-DE"/>
        </w:rPr>
        <w:lastRenderedPageBreak/>
        <w:t xml:space="preserve">Offenlegung erfasst. </w:t>
      </w:r>
      <w:r>
        <w:rPr>
          <w:lang w:val="de-DE"/>
        </w:rPr>
        <w:t>Bei solchen Wertübertragungsvorgängen kann es sich</w:t>
      </w:r>
      <w:r w:rsidR="00B35186">
        <w:rPr>
          <w:lang w:val="de-DE"/>
        </w:rPr>
        <w:t xml:space="preserve"> </w:t>
      </w:r>
      <w:r w:rsidR="00F515D3">
        <w:rPr>
          <w:lang w:val="de-DE"/>
        </w:rPr>
        <w:t xml:space="preserve">beispielsweise </w:t>
      </w:r>
      <w:r w:rsidR="00B35186">
        <w:rPr>
          <w:lang w:val="de-DE"/>
        </w:rPr>
        <w:t>um folgende Arten handeln:</w:t>
      </w:r>
      <w:r>
        <w:rPr>
          <w:lang w:val="de-DE"/>
        </w:rPr>
        <w:t xml:space="preserve"> </w:t>
      </w:r>
    </w:p>
    <w:p w14:paraId="3BC5A70E" w14:textId="501F8EE8" w:rsidR="00416834" w:rsidRPr="00B00512" w:rsidRDefault="00B35186" w:rsidP="00C0602C">
      <w:pPr>
        <w:pStyle w:val="ListParagraph"/>
        <w:numPr>
          <w:ilvl w:val="0"/>
          <w:numId w:val="27"/>
        </w:numPr>
        <w:jc w:val="both"/>
        <w:rPr>
          <w:lang w:val="de-DE"/>
        </w:rPr>
      </w:pPr>
      <w:r w:rsidRPr="00B00512">
        <w:rPr>
          <w:lang w:val="de-DE"/>
        </w:rPr>
        <w:t>Spenden (monetär)</w:t>
      </w:r>
    </w:p>
    <w:p w14:paraId="1CF322FE" w14:textId="34815BF7" w:rsidR="00887500" w:rsidRPr="00B00512" w:rsidRDefault="00B35186" w:rsidP="00C0602C">
      <w:pPr>
        <w:pStyle w:val="ListParagraph"/>
        <w:numPr>
          <w:ilvl w:val="0"/>
          <w:numId w:val="27"/>
        </w:numPr>
        <w:jc w:val="both"/>
        <w:rPr>
          <w:lang w:val="de-DE"/>
        </w:rPr>
      </w:pPr>
      <w:r w:rsidRPr="00B00512">
        <w:rPr>
          <w:lang w:val="de-DE"/>
        </w:rPr>
        <w:t>Gemeinnützige Zuschüsse (sofern die betreffende Organisation im</w:t>
      </w:r>
      <w:r w:rsidR="00B00512" w:rsidRPr="00B00512">
        <w:rPr>
          <w:lang w:val="de-DE"/>
        </w:rPr>
        <w:t xml:space="preserve"> entsprechenden</w:t>
      </w:r>
      <w:r w:rsidRPr="00B00512">
        <w:rPr>
          <w:lang w:val="de-DE"/>
        </w:rPr>
        <w:t xml:space="preserve"> Land als Gesundheitsorganisation gilt)</w:t>
      </w:r>
    </w:p>
    <w:p w14:paraId="50C3ADBD" w14:textId="489A22AF" w:rsidR="00416834" w:rsidRPr="006004DD" w:rsidRDefault="005D039C" w:rsidP="009C204E">
      <w:pPr>
        <w:pStyle w:val="ListParagraph"/>
        <w:numPr>
          <w:ilvl w:val="0"/>
          <w:numId w:val="27"/>
        </w:numPr>
        <w:jc w:val="both"/>
        <w:rPr>
          <w:lang w:val="de-DE"/>
        </w:rPr>
      </w:pPr>
      <w:r w:rsidRPr="009C204E">
        <w:rPr>
          <w:color w:val="000000"/>
          <w:lang w:val="de-DE"/>
        </w:rPr>
        <w:t>Zuschüsse für medizinische Aus- und Weiterbildung</w:t>
      </w:r>
      <w:r w:rsidR="00B35C8B" w:rsidRPr="009C204E">
        <w:rPr>
          <w:color w:val="000000"/>
          <w:lang w:val="de-DE"/>
        </w:rPr>
        <w:t>smaßnahmen</w:t>
      </w:r>
      <w:r w:rsidRPr="009C204E">
        <w:rPr>
          <w:color w:val="000000"/>
          <w:lang w:val="de-DE"/>
        </w:rPr>
        <w:t xml:space="preserve"> (z. B. Zuschüsse für die Aus-</w:t>
      </w:r>
      <w:r w:rsidR="003B3BAC">
        <w:rPr>
          <w:color w:val="000000"/>
          <w:lang w:val="de-DE"/>
        </w:rPr>
        <w:t xml:space="preserve">oder </w:t>
      </w:r>
      <w:r w:rsidRPr="009C204E">
        <w:rPr>
          <w:color w:val="000000"/>
          <w:lang w:val="de-DE"/>
        </w:rPr>
        <w:t xml:space="preserve">Weiterbildung von </w:t>
      </w:r>
      <w:r w:rsidR="009C204E">
        <w:rPr>
          <w:color w:val="000000"/>
          <w:lang w:val="de-DE"/>
        </w:rPr>
        <w:t>Fachkreisangehörige</w:t>
      </w:r>
      <w:r w:rsidRPr="009C204E">
        <w:rPr>
          <w:color w:val="000000"/>
          <w:lang w:val="de-DE"/>
        </w:rPr>
        <w:t xml:space="preserve">n): Solche </w:t>
      </w:r>
      <w:r w:rsidR="0043382C" w:rsidRPr="009C204E">
        <w:rPr>
          <w:color w:val="000000"/>
          <w:lang w:val="de-DE"/>
        </w:rPr>
        <w:t xml:space="preserve">Zuschüsse bzw. </w:t>
      </w:r>
      <w:r w:rsidR="006619B0">
        <w:rPr>
          <w:color w:val="000000"/>
          <w:lang w:val="de-DE"/>
        </w:rPr>
        <w:t>Leistungen</w:t>
      </w:r>
      <w:r w:rsidR="0043382C" w:rsidRPr="009C204E">
        <w:rPr>
          <w:color w:val="000000"/>
          <w:lang w:val="de-DE"/>
        </w:rPr>
        <w:t xml:space="preserve"> können geldlicher Art sein, z. B. für von Prüfärzten </w:t>
      </w:r>
      <w:r w:rsidR="00B35C8B" w:rsidRPr="009C204E">
        <w:rPr>
          <w:color w:val="000000"/>
          <w:lang w:val="de-DE"/>
        </w:rPr>
        <w:t>initiierte, gesponserte Forschungsprojekte, die definitionsgemäß als nicht angeforderte, unabhängige Forschungstätigkeiten gelten, bei denen der Prüfarzt bzw. die Einrichtung (</w:t>
      </w:r>
      <w:r w:rsidR="00664425" w:rsidRPr="009C204E">
        <w:rPr>
          <w:color w:val="000000"/>
          <w:lang w:val="de-DE"/>
        </w:rPr>
        <w:t>akademische, private oder staatliche Einrichtungen) als Sponsor fungiert und Takeda Unterstützung in Form der Bereitstellung der Studienmedikation und/oder von Geldmitteln beisteuert</w:t>
      </w:r>
      <w:r w:rsidR="00A2627D">
        <w:rPr>
          <w:color w:val="000000"/>
          <w:lang w:val="de-DE"/>
        </w:rPr>
        <w:t>.</w:t>
      </w:r>
      <w:r w:rsidR="00664425" w:rsidRPr="009C204E">
        <w:rPr>
          <w:color w:val="000000"/>
          <w:lang w:val="de-DE"/>
        </w:rPr>
        <w:t xml:space="preserve"> </w:t>
      </w:r>
    </w:p>
    <w:p w14:paraId="6D4A3E3F" w14:textId="6B93DF82" w:rsidR="00C508C7" w:rsidRPr="00724A0F" w:rsidRDefault="00F515D3" w:rsidP="00F9125E">
      <w:pPr>
        <w:pStyle w:val="Heading3"/>
        <w:numPr>
          <w:ilvl w:val="2"/>
          <w:numId w:val="45"/>
        </w:numPr>
        <w:ind w:left="567" w:hanging="567"/>
        <w:jc w:val="both"/>
        <w:rPr>
          <w:rFonts w:asciiTheme="minorHAnsi" w:hAnsiTheme="minorHAnsi"/>
        </w:rPr>
      </w:pPr>
      <w:bookmarkStart w:id="30" w:name="_Toc311393070"/>
      <w:bookmarkStart w:id="31" w:name="_Toc313555995"/>
      <w:bookmarkStart w:id="32" w:name="_Toc453080757"/>
      <w:r w:rsidRPr="006004DD">
        <w:rPr>
          <w:rFonts w:asciiTheme="minorHAnsi" w:hAnsiTheme="minorHAnsi"/>
          <w:lang w:val="de-DE"/>
        </w:rPr>
        <w:t>Zuschüsse zu Veranstaltungskosten</w:t>
      </w:r>
      <w:bookmarkStart w:id="33" w:name="_Toc408833752"/>
      <w:bookmarkEnd w:id="29"/>
      <w:bookmarkEnd w:id="30"/>
      <w:bookmarkEnd w:id="31"/>
      <w:bookmarkEnd w:id="32"/>
    </w:p>
    <w:p w14:paraId="703D97CB" w14:textId="5C9DD570" w:rsidR="00F515D3" w:rsidRPr="00415C19" w:rsidRDefault="00F515D3" w:rsidP="00F9125E">
      <w:pPr>
        <w:jc w:val="both"/>
        <w:rPr>
          <w:lang w:val="de-DE"/>
        </w:rPr>
      </w:pPr>
      <w:r w:rsidRPr="00F515D3">
        <w:rPr>
          <w:lang w:val="de-DE"/>
        </w:rPr>
        <w:t xml:space="preserve">Sämtliche </w:t>
      </w:r>
      <w:r w:rsidRPr="00415C19">
        <w:rPr>
          <w:lang w:val="de-DE"/>
        </w:rPr>
        <w:t xml:space="preserve">zwischen dem Unternehmen Takeda und </w:t>
      </w:r>
      <w:r>
        <w:rPr>
          <w:lang w:val="de-DE"/>
        </w:rPr>
        <w:t xml:space="preserve">einem </w:t>
      </w:r>
      <w:r w:rsidR="003E299C">
        <w:rPr>
          <w:lang w:val="de-DE"/>
        </w:rPr>
        <w:t>Fachkreisangehörigen</w:t>
      </w:r>
      <w:r>
        <w:rPr>
          <w:lang w:val="de-DE"/>
        </w:rPr>
        <w:t xml:space="preserve"> (entweder direkt oder indirekt über einen Dritten) bzw. </w:t>
      </w:r>
      <w:r w:rsidRPr="00415C19">
        <w:rPr>
          <w:lang w:val="de-DE"/>
        </w:rPr>
        <w:t>einer Gesundheitsorganisation vorgenommenen Wertübertragungen in Verbindung mit eine</w:t>
      </w:r>
      <w:r>
        <w:rPr>
          <w:lang w:val="de-DE"/>
        </w:rPr>
        <w:t xml:space="preserve">m Zuschuss zu Veranstaltungskosten </w:t>
      </w:r>
      <w:r w:rsidRPr="00415C19">
        <w:rPr>
          <w:lang w:val="de-DE"/>
        </w:rPr>
        <w:t xml:space="preserve">werden vom Geltungsbereich der Offenlegung erfasst. </w:t>
      </w:r>
      <w:r>
        <w:rPr>
          <w:lang w:val="de-DE"/>
        </w:rPr>
        <w:t>Bei solchen Wertübertragungsvorgängen</w:t>
      </w:r>
      <w:r w:rsidR="008F75BE">
        <w:rPr>
          <w:lang w:val="de-DE"/>
        </w:rPr>
        <w:t xml:space="preserve"> (wie insbesondere</w:t>
      </w:r>
      <w:r w:rsidR="00A2627D">
        <w:rPr>
          <w:lang w:val="de-DE"/>
        </w:rPr>
        <w:t xml:space="preserve"> </w:t>
      </w:r>
      <w:r w:rsidR="008F75BE">
        <w:rPr>
          <w:lang w:val="de-DE"/>
        </w:rPr>
        <w:t xml:space="preserve">für </w:t>
      </w:r>
      <w:r w:rsidR="00A2627D">
        <w:rPr>
          <w:lang w:val="de-DE"/>
        </w:rPr>
        <w:t xml:space="preserve">die Teilnahme an Kongressen, </w:t>
      </w:r>
      <w:r w:rsidR="00F671C7">
        <w:rPr>
          <w:lang w:val="de-DE"/>
        </w:rPr>
        <w:t>Konferenzen, Symposien</w:t>
      </w:r>
      <w:r w:rsidR="008F75BE">
        <w:rPr>
          <w:lang w:val="de-DE"/>
        </w:rPr>
        <w:t xml:space="preserve"> etc., die einen medizinisch –wissenschaftlichen Schwerpunkt haben und der Fortbildung der HCPs dienen), </w:t>
      </w:r>
      <w:r>
        <w:rPr>
          <w:lang w:val="de-DE"/>
        </w:rPr>
        <w:t>k</w:t>
      </w:r>
      <w:r w:rsidR="008F75BE">
        <w:rPr>
          <w:lang w:val="de-DE"/>
        </w:rPr>
        <w:t>ann es sich beispielsweise</w:t>
      </w:r>
      <w:r>
        <w:rPr>
          <w:lang w:val="de-DE"/>
        </w:rPr>
        <w:t xml:space="preserve"> </w:t>
      </w:r>
      <w:r w:rsidR="008F75BE">
        <w:rPr>
          <w:lang w:val="de-DE"/>
        </w:rPr>
        <w:t xml:space="preserve">um </w:t>
      </w:r>
      <w:r>
        <w:rPr>
          <w:lang w:val="de-DE"/>
        </w:rPr>
        <w:t xml:space="preserve">folgende </w:t>
      </w:r>
      <w:r w:rsidR="008F75BE">
        <w:rPr>
          <w:lang w:val="de-DE"/>
        </w:rPr>
        <w:t>A</w:t>
      </w:r>
      <w:r>
        <w:rPr>
          <w:lang w:val="de-DE"/>
        </w:rPr>
        <w:t xml:space="preserve">rten </w:t>
      </w:r>
      <w:r w:rsidR="008F75BE">
        <w:rPr>
          <w:lang w:val="de-DE"/>
        </w:rPr>
        <w:t>handeln</w:t>
      </w:r>
      <w:r>
        <w:rPr>
          <w:lang w:val="de-DE"/>
        </w:rPr>
        <w:t xml:space="preserve">: </w:t>
      </w:r>
    </w:p>
    <w:p w14:paraId="7ADA019A" w14:textId="56288A15" w:rsidR="00357B3E" w:rsidRPr="006004DD" w:rsidRDefault="000A6E19" w:rsidP="00C0602C">
      <w:pPr>
        <w:pStyle w:val="ListParagraph"/>
        <w:numPr>
          <w:ilvl w:val="0"/>
          <w:numId w:val="47"/>
        </w:numPr>
        <w:jc w:val="both"/>
        <w:rPr>
          <w:i/>
          <w:lang w:val="de-DE"/>
        </w:rPr>
      </w:pPr>
      <w:r w:rsidRPr="000F0816">
        <w:rPr>
          <w:lang w:val="de-DE"/>
        </w:rPr>
        <w:t xml:space="preserve">Reisekosten </w:t>
      </w:r>
      <w:r w:rsidRPr="000F0816">
        <w:rPr>
          <w:i/>
          <w:lang w:val="de-DE"/>
        </w:rPr>
        <w:t xml:space="preserve">(Kosten für Flug-/Bahnticket, </w:t>
      </w:r>
      <w:r w:rsidR="008F75BE">
        <w:rPr>
          <w:i/>
          <w:lang w:val="de-DE"/>
        </w:rPr>
        <w:t xml:space="preserve">Privatwagen-Nutzung, </w:t>
      </w:r>
      <w:r w:rsidRPr="000F0816">
        <w:rPr>
          <w:i/>
          <w:lang w:val="de-DE"/>
        </w:rPr>
        <w:t>Taxifahrten, Mietwagen,</w:t>
      </w:r>
      <w:r w:rsidR="003E299C">
        <w:rPr>
          <w:i/>
          <w:lang w:val="de-DE"/>
        </w:rPr>
        <w:t xml:space="preserve"> Parkgebühren</w:t>
      </w:r>
      <w:r w:rsidRPr="000F0816">
        <w:rPr>
          <w:i/>
          <w:lang w:val="de-DE"/>
        </w:rPr>
        <w:t>)</w:t>
      </w:r>
    </w:p>
    <w:p w14:paraId="0597D1EB" w14:textId="11827175" w:rsidR="00747FD4" w:rsidRDefault="0089451C" w:rsidP="00C0602C">
      <w:pPr>
        <w:pStyle w:val="ListParagraph"/>
        <w:numPr>
          <w:ilvl w:val="0"/>
          <w:numId w:val="47"/>
        </w:numPr>
        <w:jc w:val="both"/>
        <w:rPr>
          <w:i/>
        </w:rPr>
      </w:pPr>
      <w:r w:rsidRPr="006004DD">
        <w:rPr>
          <w:lang w:val="de-DE"/>
        </w:rPr>
        <w:t>Übernachtungskosten</w:t>
      </w:r>
      <w:r>
        <w:t xml:space="preserve"> </w:t>
      </w:r>
    </w:p>
    <w:p w14:paraId="1B87C358" w14:textId="73D6F347" w:rsidR="00357B3E" w:rsidRPr="000F0816" w:rsidRDefault="000F0816" w:rsidP="00C0602C">
      <w:pPr>
        <w:pStyle w:val="ListParagraph"/>
        <w:numPr>
          <w:ilvl w:val="0"/>
          <w:numId w:val="47"/>
        </w:numPr>
        <w:jc w:val="both"/>
        <w:rPr>
          <w:i/>
          <w:lang w:val="de-DE"/>
        </w:rPr>
      </w:pPr>
      <w:r w:rsidRPr="000F0816">
        <w:rPr>
          <w:color w:val="000000"/>
          <w:lang w:val="de-DE"/>
        </w:rPr>
        <w:t xml:space="preserve">Registrierungsgebühren </w:t>
      </w:r>
      <w:r w:rsidRPr="000F0816">
        <w:rPr>
          <w:i/>
          <w:color w:val="000000"/>
          <w:lang w:val="de-DE"/>
        </w:rPr>
        <w:t xml:space="preserve">(Gebühren, die zugunsten eines </w:t>
      </w:r>
      <w:r w:rsidR="009C204E">
        <w:rPr>
          <w:i/>
          <w:color w:val="000000"/>
          <w:lang w:val="de-DE"/>
        </w:rPr>
        <w:t>Fachkreisangehörigen</w:t>
      </w:r>
      <w:r w:rsidRPr="000F0816">
        <w:rPr>
          <w:i/>
          <w:color w:val="000000"/>
          <w:lang w:val="de-DE"/>
        </w:rPr>
        <w:t xml:space="preserve"> oder einer Gesundheitsorganisation gezahlt werden, damit diese</w:t>
      </w:r>
      <w:r w:rsidR="00BE64D0">
        <w:rPr>
          <w:i/>
          <w:color w:val="000000"/>
          <w:lang w:val="de-DE"/>
        </w:rPr>
        <w:t>r/diese</w:t>
      </w:r>
      <w:r w:rsidRPr="000F0816">
        <w:rPr>
          <w:i/>
          <w:color w:val="000000"/>
          <w:lang w:val="de-DE"/>
        </w:rPr>
        <w:t xml:space="preserve"> bzw. </w:t>
      </w:r>
      <w:r w:rsidR="00BE64D0">
        <w:rPr>
          <w:i/>
          <w:color w:val="000000"/>
          <w:lang w:val="de-DE"/>
        </w:rPr>
        <w:t>dessen/deren</w:t>
      </w:r>
      <w:r w:rsidRPr="000F0816">
        <w:rPr>
          <w:i/>
          <w:color w:val="000000"/>
          <w:lang w:val="de-DE"/>
        </w:rPr>
        <w:t xml:space="preserve"> Mitarbeiter an nicht von Takeda organisierten me</w:t>
      </w:r>
      <w:r>
        <w:rPr>
          <w:i/>
          <w:color w:val="000000"/>
          <w:lang w:val="de-DE"/>
        </w:rPr>
        <w:t>dizinischen/aus- und weiterbildungsbezogenen Veranstaltungen teilnehmen können)</w:t>
      </w:r>
    </w:p>
    <w:p w14:paraId="50999ABB" w14:textId="35F6FE2D" w:rsidR="009B7227" w:rsidRPr="0073797D" w:rsidRDefault="000F0816" w:rsidP="004525A3">
      <w:pPr>
        <w:pStyle w:val="ListParagraph"/>
        <w:numPr>
          <w:ilvl w:val="0"/>
          <w:numId w:val="47"/>
        </w:numPr>
        <w:jc w:val="both"/>
        <w:rPr>
          <w:color w:val="000000"/>
          <w:lang w:val="de-DE"/>
        </w:rPr>
      </w:pPr>
      <w:r w:rsidRPr="0073797D">
        <w:rPr>
          <w:color w:val="000000"/>
          <w:lang w:val="de-DE"/>
        </w:rPr>
        <w:t xml:space="preserve">Sponsorenvereinbarungen mit einer Gesundheitsorganisation oder einem von einer Gesundheitsorganisation zur Durchführung einer Veranstaltung </w:t>
      </w:r>
      <w:r w:rsidR="00D624F5" w:rsidRPr="0073797D">
        <w:rPr>
          <w:color w:val="000000"/>
          <w:lang w:val="de-DE"/>
        </w:rPr>
        <w:t xml:space="preserve">– </w:t>
      </w:r>
      <w:r w:rsidRPr="0073797D">
        <w:rPr>
          <w:color w:val="000000"/>
          <w:lang w:val="de-DE"/>
        </w:rPr>
        <w:t xml:space="preserve">z. B. </w:t>
      </w:r>
      <w:r w:rsidR="003B3BAC" w:rsidRPr="0073797D">
        <w:rPr>
          <w:color w:val="000000"/>
          <w:lang w:val="de-DE"/>
        </w:rPr>
        <w:t xml:space="preserve">einer </w:t>
      </w:r>
      <w:r w:rsidR="00D624F5" w:rsidRPr="0073797D">
        <w:rPr>
          <w:color w:val="000000"/>
          <w:lang w:val="de-DE"/>
        </w:rPr>
        <w:t>wissenschaftliche</w:t>
      </w:r>
      <w:r w:rsidR="003B3BAC" w:rsidRPr="0073797D">
        <w:rPr>
          <w:color w:val="000000"/>
          <w:lang w:val="de-DE"/>
        </w:rPr>
        <w:t>n</w:t>
      </w:r>
      <w:r w:rsidR="00D624F5" w:rsidRPr="0073797D">
        <w:rPr>
          <w:color w:val="000000"/>
          <w:lang w:val="de-DE"/>
        </w:rPr>
        <w:t xml:space="preserve"> Konferenz, </w:t>
      </w:r>
      <w:r w:rsidR="003B3BAC" w:rsidRPr="0073797D">
        <w:rPr>
          <w:color w:val="000000"/>
          <w:lang w:val="de-DE"/>
        </w:rPr>
        <w:t xml:space="preserve">eines </w:t>
      </w:r>
      <w:r w:rsidR="00D624F5" w:rsidRPr="0073797D">
        <w:rPr>
          <w:color w:val="000000"/>
          <w:lang w:val="de-DE"/>
        </w:rPr>
        <w:t>Kongresse</w:t>
      </w:r>
      <w:r w:rsidR="003B3BAC" w:rsidRPr="0073797D">
        <w:rPr>
          <w:color w:val="000000"/>
          <w:lang w:val="de-DE"/>
        </w:rPr>
        <w:t>s</w:t>
      </w:r>
      <w:r w:rsidR="00D624F5" w:rsidRPr="0073797D">
        <w:rPr>
          <w:color w:val="000000"/>
          <w:lang w:val="de-DE"/>
        </w:rPr>
        <w:t xml:space="preserve"> oder </w:t>
      </w:r>
      <w:r w:rsidR="003B3BAC" w:rsidRPr="0073797D">
        <w:rPr>
          <w:color w:val="000000"/>
          <w:lang w:val="de-DE"/>
        </w:rPr>
        <w:t xml:space="preserve">einer </w:t>
      </w:r>
      <w:r w:rsidR="00D624F5" w:rsidRPr="0073797D">
        <w:rPr>
          <w:color w:val="000000"/>
          <w:lang w:val="de-DE"/>
        </w:rPr>
        <w:t>Ausstellung</w:t>
      </w:r>
      <w:r w:rsidR="003B3BAC" w:rsidRPr="0073797D">
        <w:rPr>
          <w:color w:val="000000"/>
          <w:lang w:val="de-DE"/>
        </w:rPr>
        <w:t xml:space="preserve"> </w:t>
      </w:r>
      <w:r w:rsidR="00D624F5" w:rsidRPr="0073797D">
        <w:rPr>
          <w:color w:val="000000"/>
          <w:lang w:val="de-DE"/>
        </w:rPr>
        <w:t xml:space="preserve">- </w:t>
      </w:r>
      <w:r w:rsidRPr="0073797D">
        <w:rPr>
          <w:color w:val="000000"/>
          <w:lang w:val="de-DE"/>
        </w:rPr>
        <w:t>betrauten Dritten</w:t>
      </w:r>
      <w:r w:rsidR="00D624F5" w:rsidRPr="0073797D">
        <w:rPr>
          <w:color w:val="000000"/>
          <w:lang w:val="de-DE"/>
        </w:rPr>
        <w:t xml:space="preserve">: </w:t>
      </w:r>
      <w:r w:rsidR="00D624F5" w:rsidRPr="0073797D">
        <w:rPr>
          <w:i/>
          <w:color w:val="000000"/>
          <w:lang w:val="de-DE"/>
        </w:rPr>
        <w:t>Sponsoring über medizinische Fachgesellschaften; nationale branchenspezifische Organisationen; Krankenhäuser und Lehreinrichtungen; wissenschaftliche Organisationen; regionale, nationale, internationale sowie weltweite Konferenzen; lokale Krankenhäuser; medizinische Zentren.</w:t>
      </w:r>
    </w:p>
    <w:p w14:paraId="3E0C8B81" w14:textId="599FBCBA" w:rsidR="009B7227" w:rsidRDefault="009B7227" w:rsidP="009C204E">
      <w:pPr>
        <w:pStyle w:val="ListParagraph"/>
        <w:jc w:val="both"/>
        <w:rPr>
          <w:color w:val="000000"/>
          <w:lang w:val="de-DE"/>
        </w:rPr>
      </w:pPr>
      <w:r w:rsidRPr="0073797D">
        <w:rPr>
          <w:color w:val="000000"/>
          <w:lang w:val="de-DE"/>
        </w:rPr>
        <w:t xml:space="preserve">Wird eine wissenschaftliche Veranstaltung von einer Veranstaltungsagentur organisiert und die geldwerte </w:t>
      </w:r>
      <w:r w:rsidR="002D3E93" w:rsidRPr="0073797D">
        <w:rPr>
          <w:color w:val="000000"/>
          <w:lang w:val="de-DE"/>
        </w:rPr>
        <w:t>Leistung</w:t>
      </w:r>
      <w:r w:rsidRPr="0073797D">
        <w:rPr>
          <w:color w:val="000000"/>
          <w:lang w:val="de-DE"/>
        </w:rPr>
        <w:t xml:space="preserve"> an diese geleistet – diese Veranstaltung hat aber einen erkennbaren Bezug zu einer HCO – dann erfolgt die Veröffentlichung unter Nennung der Veranstaltungsagentur mit einer Erklärung in diesen methodischen Hinweisen wofür die Wertübertragung erfolgt ist. Diese Erklärung (</w:t>
      </w:r>
      <w:r w:rsidR="00930760" w:rsidRPr="0073797D">
        <w:rPr>
          <w:color w:val="000000"/>
          <w:lang w:val="de-DE"/>
        </w:rPr>
        <w:t xml:space="preserve">„ergänzende </w:t>
      </w:r>
      <w:r w:rsidRPr="0073797D">
        <w:rPr>
          <w:color w:val="000000"/>
          <w:lang w:val="de-DE"/>
        </w:rPr>
        <w:t>List</w:t>
      </w:r>
      <w:r w:rsidR="00CF0E43" w:rsidRPr="0073797D">
        <w:rPr>
          <w:color w:val="000000"/>
          <w:lang w:val="de-DE"/>
        </w:rPr>
        <w:t>e</w:t>
      </w:r>
      <w:r w:rsidR="00930760" w:rsidRPr="0073797D">
        <w:rPr>
          <w:color w:val="000000"/>
          <w:lang w:val="de-DE"/>
        </w:rPr>
        <w:t xml:space="preserve"> zu den Methodischen Hinweisen – Fachgesellschaften“</w:t>
      </w:r>
      <w:r w:rsidR="00CF0E43" w:rsidRPr="0073797D">
        <w:rPr>
          <w:color w:val="000000"/>
          <w:lang w:val="de-DE"/>
        </w:rPr>
        <w:t>) finden Sie auch auf unserer Veröffentlichungsplattform</w:t>
      </w:r>
      <w:r w:rsidR="003E299C" w:rsidRPr="0073797D">
        <w:rPr>
          <w:color w:val="000000"/>
          <w:lang w:val="de-DE"/>
        </w:rPr>
        <w:t>.</w:t>
      </w:r>
      <w:r w:rsidR="003E299C">
        <w:rPr>
          <w:color w:val="000000"/>
          <w:lang w:val="de-DE"/>
        </w:rPr>
        <w:t xml:space="preserve"> </w:t>
      </w:r>
    </w:p>
    <w:p w14:paraId="4A022993" w14:textId="555B3AF7" w:rsidR="005B20CB" w:rsidRPr="009B7227" w:rsidRDefault="003A49BA" w:rsidP="00F9125E">
      <w:pPr>
        <w:jc w:val="both"/>
        <w:rPr>
          <w:color w:val="000000"/>
          <w:lang w:val="de-DE"/>
        </w:rPr>
      </w:pPr>
      <w:r w:rsidRPr="009B7227">
        <w:rPr>
          <w:color w:val="000000"/>
          <w:lang w:val="de-DE"/>
        </w:rPr>
        <w:t>S</w:t>
      </w:r>
      <w:r w:rsidR="00D624F5" w:rsidRPr="009B7227">
        <w:rPr>
          <w:color w:val="000000"/>
          <w:lang w:val="de-DE"/>
        </w:rPr>
        <w:t>o</w:t>
      </w:r>
      <w:r w:rsidR="00AE78BF" w:rsidRPr="009B7227">
        <w:rPr>
          <w:color w:val="000000"/>
          <w:lang w:val="de-DE"/>
        </w:rPr>
        <w:t>f</w:t>
      </w:r>
      <w:r w:rsidR="00D624F5" w:rsidRPr="009B7227">
        <w:rPr>
          <w:color w:val="000000"/>
          <w:lang w:val="de-DE"/>
        </w:rPr>
        <w:t>e</w:t>
      </w:r>
      <w:r w:rsidR="00AE78BF" w:rsidRPr="009B7227">
        <w:rPr>
          <w:color w:val="000000"/>
          <w:lang w:val="de-DE"/>
        </w:rPr>
        <w:t>rn</w:t>
      </w:r>
      <w:r w:rsidR="00D624F5" w:rsidRPr="009B7227">
        <w:rPr>
          <w:color w:val="000000"/>
          <w:lang w:val="de-DE"/>
        </w:rPr>
        <w:t xml:space="preserve"> ein </w:t>
      </w:r>
      <w:r w:rsidR="009C204E">
        <w:rPr>
          <w:color w:val="000000"/>
          <w:lang w:val="de-DE"/>
        </w:rPr>
        <w:t>Fachkreisangehöriger</w:t>
      </w:r>
      <w:r w:rsidR="00D624F5" w:rsidRPr="009B7227">
        <w:rPr>
          <w:color w:val="000000"/>
          <w:lang w:val="de-DE"/>
        </w:rPr>
        <w:t>,</w:t>
      </w:r>
      <w:r w:rsidR="003E299C">
        <w:rPr>
          <w:color w:val="000000"/>
          <w:lang w:val="de-DE"/>
        </w:rPr>
        <w:t xml:space="preserve"> der</w:t>
      </w:r>
      <w:r w:rsidR="00AE78BF" w:rsidRPr="009B7227">
        <w:rPr>
          <w:color w:val="000000"/>
          <w:lang w:val="de-DE"/>
        </w:rPr>
        <w:t xml:space="preserve"> Unterstützung zur Teilnahme an einer von Dritten veranstalteten Tagung erhält, seine Teilnahme an dieser Tagung absagen musste, wurden </w:t>
      </w:r>
      <w:r w:rsidR="006A0269" w:rsidRPr="009B7227">
        <w:rPr>
          <w:color w:val="000000"/>
          <w:lang w:val="de-DE"/>
        </w:rPr>
        <w:t xml:space="preserve">hierzu keine </w:t>
      </w:r>
      <w:r w:rsidR="00AE78BF" w:rsidRPr="009B7227">
        <w:rPr>
          <w:color w:val="000000"/>
          <w:lang w:val="de-DE"/>
        </w:rPr>
        <w:t xml:space="preserve">Angaben </w:t>
      </w:r>
      <w:r w:rsidR="006A0269" w:rsidRPr="009B7227">
        <w:rPr>
          <w:color w:val="000000"/>
          <w:lang w:val="de-DE"/>
        </w:rPr>
        <w:t xml:space="preserve">und </w:t>
      </w:r>
      <w:r w:rsidR="00AE78BF" w:rsidRPr="009B7227">
        <w:rPr>
          <w:color w:val="000000"/>
          <w:lang w:val="de-DE"/>
        </w:rPr>
        <w:t xml:space="preserve">auch </w:t>
      </w:r>
      <w:r w:rsidR="006A0269" w:rsidRPr="009B7227">
        <w:rPr>
          <w:color w:val="000000"/>
          <w:lang w:val="de-DE"/>
        </w:rPr>
        <w:t xml:space="preserve">keine </w:t>
      </w:r>
      <w:r w:rsidR="00AE78BF" w:rsidRPr="009B7227">
        <w:rPr>
          <w:color w:val="000000"/>
          <w:lang w:val="de-DE"/>
        </w:rPr>
        <w:t>etwaige</w:t>
      </w:r>
      <w:r w:rsidR="006A0269" w:rsidRPr="009B7227">
        <w:rPr>
          <w:color w:val="000000"/>
          <w:lang w:val="de-DE"/>
        </w:rPr>
        <w:t>n</w:t>
      </w:r>
      <w:r w:rsidR="00AE78BF" w:rsidRPr="009B7227">
        <w:rPr>
          <w:color w:val="000000"/>
          <w:lang w:val="de-DE"/>
        </w:rPr>
        <w:t xml:space="preserve"> erhobene</w:t>
      </w:r>
      <w:r w:rsidR="006A0269" w:rsidRPr="009B7227">
        <w:rPr>
          <w:color w:val="000000"/>
          <w:lang w:val="de-DE"/>
        </w:rPr>
        <w:t>n</w:t>
      </w:r>
      <w:r w:rsidR="00AE78BF" w:rsidRPr="009B7227">
        <w:rPr>
          <w:color w:val="000000"/>
          <w:lang w:val="de-DE"/>
        </w:rPr>
        <w:t xml:space="preserve"> Stornogebühren </w:t>
      </w:r>
      <w:r w:rsidR="007B4E33" w:rsidRPr="009B7227">
        <w:rPr>
          <w:color w:val="000000"/>
          <w:lang w:val="de-DE"/>
        </w:rPr>
        <w:t>in unserem Bericht erfasst.</w:t>
      </w:r>
      <w:r w:rsidR="00AE78BF" w:rsidRPr="009B7227">
        <w:rPr>
          <w:color w:val="000000"/>
          <w:lang w:val="de-DE"/>
        </w:rPr>
        <w:t xml:space="preserve"> </w:t>
      </w:r>
      <w:r w:rsidR="00D624F5" w:rsidRPr="009B7227">
        <w:rPr>
          <w:color w:val="000000"/>
          <w:lang w:val="de-DE"/>
        </w:rPr>
        <w:t xml:space="preserve"> </w:t>
      </w:r>
    </w:p>
    <w:p w14:paraId="2D0A028E" w14:textId="55E33A45" w:rsidR="00887500" w:rsidRPr="006004DD" w:rsidRDefault="007B4E33" w:rsidP="00F9125E">
      <w:pPr>
        <w:jc w:val="both"/>
        <w:rPr>
          <w:i/>
          <w:color w:val="000000"/>
          <w:lang w:val="de-AT"/>
        </w:rPr>
      </w:pPr>
      <w:r w:rsidRPr="002A4ADF">
        <w:rPr>
          <w:color w:val="000000"/>
          <w:lang w:val="de-DE"/>
        </w:rPr>
        <w:t>Beispiele für Aktivitäten, die im Rahmen des Offenlegungsbericht</w:t>
      </w:r>
      <w:r w:rsidR="003B3BAC">
        <w:rPr>
          <w:color w:val="000000"/>
          <w:lang w:val="de-DE"/>
        </w:rPr>
        <w:t>es</w:t>
      </w:r>
      <w:r w:rsidRPr="002A4ADF">
        <w:rPr>
          <w:color w:val="000000"/>
          <w:lang w:val="de-DE"/>
        </w:rPr>
        <w:t xml:space="preserve"> von Takeda unter dem Begriff „Sponsorenvereinbarung“ gefasst werden, </w:t>
      </w:r>
      <w:r w:rsidR="00A97F53">
        <w:rPr>
          <w:color w:val="000000"/>
          <w:lang w:val="de-DE"/>
        </w:rPr>
        <w:t>können</w:t>
      </w:r>
      <w:r w:rsidRPr="002A4ADF">
        <w:rPr>
          <w:color w:val="000000"/>
          <w:lang w:val="de-DE"/>
        </w:rPr>
        <w:t xml:space="preserve"> unter anderem folgende</w:t>
      </w:r>
      <w:r w:rsidR="00A97F53">
        <w:rPr>
          <w:color w:val="000000"/>
          <w:lang w:val="de-DE"/>
        </w:rPr>
        <w:t xml:space="preserve"> sein</w:t>
      </w:r>
      <w:r w:rsidRPr="002A4ADF">
        <w:rPr>
          <w:color w:val="000000"/>
          <w:lang w:val="de-DE"/>
        </w:rPr>
        <w:t xml:space="preserve">: </w:t>
      </w:r>
      <w:r w:rsidR="002A4ADF">
        <w:rPr>
          <w:i/>
          <w:color w:val="000000"/>
          <w:lang w:val="de-DE"/>
        </w:rPr>
        <w:t xml:space="preserve">Anmieten von Messeständen, Mieten von Werbeflächen (elektronisch, in Papierform etc.), Beteiligung an Satelliten-Symposien im Rahmen wissenschaftlicher Kongresse, von Gesundheitsorganisationen </w:t>
      </w:r>
      <w:r w:rsidR="00A97F53">
        <w:rPr>
          <w:i/>
          <w:color w:val="000000"/>
          <w:lang w:val="de-DE"/>
        </w:rPr>
        <w:t>durchgeführte</w:t>
      </w:r>
      <w:r w:rsidR="002A4ADF">
        <w:rPr>
          <w:i/>
          <w:color w:val="000000"/>
          <w:lang w:val="de-DE"/>
        </w:rPr>
        <w:t xml:space="preserve"> wissenschaftliche Lehrveranstaltungen, Möglichkeiten des Bewerbens unserer Produkte</w:t>
      </w:r>
      <w:r w:rsidR="003A49BA">
        <w:rPr>
          <w:i/>
          <w:color w:val="000000"/>
          <w:lang w:val="de-DE"/>
        </w:rPr>
        <w:t>.</w:t>
      </w:r>
      <w:r w:rsidR="002A4ADF">
        <w:rPr>
          <w:i/>
          <w:color w:val="000000"/>
          <w:lang w:val="de-DE"/>
        </w:rPr>
        <w:t xml:space="preserve"> </w:t>
      </w:r>
    </w:p>
    <w:p w14:paraId="65F3A9B1" w14:textId="2F365644" w:rsidR="00067B68" w:rsidRPr="00724A0F" w:rsidRDefault="002A4ADF" w:rsidP="00F9125E">
      <w:pPr>
        <w:pStyle w:val="Heading3"/>
        <w:numPr>
          <w:ilvl w:val="2"/>
          <w:numId w:val="45"/>
        </w:numPr>
        <w:ind w:left="567" w:hanging="567"/>
        <w:jc w:val="both"/>
        <w:rPr>
          <w:rFonts w:asciiTheme="minorHAnsi" w:hAnsiTheme="minorHAnsi"/>
        </w:rPr>
      </w:pPr>
      <w:bookmarkStart w:id="34" w:name="_Toc311393071"/>
      <w:bookmarkStart w:id="35" w:name="_Toc313555996"/>
      <w:bookmarkStart w:id="36" w:name="_Toc453080758"/>
      <w:r w:rsidRPr="006004DD">
        <w:rPr>
          <w:rFonts w:asciiTheme="minorHAnsi" w:hAnsiTheme="minorHAnsi"/>
          <w:lang w:val="de-AT"/>
        </w:rPr>
        <w:lastRenderedPageBreak/>
        <w:t>Dienstleistungs</w:t>
      </w:r>
      <w:r>
        <w:rPr>
          <w:rFonts w:asciiTheme="minorHAnsi" w:hAnsiTheme="minorHAnsi"/>
        </w:rPr>
        <w:t>- und Beratungshonorare</w:t>
      </w:r>
      <w:bookmarkStart w:id="37" w:name="_Toc408833753"/>
      <w:bookmarkEnd w:id="33"/>
      <w:bookmarkEnd w:id="34"/>
      <w:bookmarkEnd w:id="35"/>
      <w:bookmarkEnd w:id="36"/>
    </w:p>
    <w:p w14:paraId="04A90329" w14:textId="05B95F01" w:rsidR="00361623" w:rsidRPr="00415C19" w:rsidRDefault="00361623" w:rsidP="00F9125E">
      <w:pPr>
        <w:jc w:val="both"/>
        <w:rPr>
          <w:lang w:val="de-DE"/>
        </w:rPr>
      </w:pPr>
      <w:r w:rsidRPr="00F515D3">
        <w:rPr>
          <w:lang w:val="de-DE"/>
        </w:rPr>
        <w:t xml:space="preserve">Sämtliche </w:t>
      </w:r>
      <w:r w:rsidRPr="00415C19">
        <w:rPr>
          <w:lang w:val="de-DE"/>
        </w:rPr>
        <w:t xml:space="preserve">zwischen dem Unternehmen Takeda und </w:t>
      </w:r>
      <w:r>
        <w:rPr>
          <w:lang w:val="de-DE"/>
        </w:rPr>
        <w:t xml:space="preserve">einem </w:t>
      </w:r>
      <w:r w:rsidR="003E299C">
        <w:rPr>
          <w:lang w:val="de-DE"/>
        </w:rPr>
        <w:t>Fachkreisangehörigen</w:t>
      </w:r>
      <w:r>
        <w:rPr>
          <w:lang w:val="de-DE"/>
        </w:rPr>
        <w:t xml:space="preserve"> </w:t>
      </w:r>
      <w:r w:rsidR="0076560A">
        <w:rPr>
          <w:lang w:val="de-DE"/>
        </w:rPr>
        <w:t xml:space="preserve">bzw. </w:t>
      </w:r>
      <w:r>
        <w:rPr>
          <w:lang w:val="de-DE"/>
        </w:rPr>
        <w:t>e</w:t>
      </w:r>
      <w:r w:rsidRPr="00415C19">
        <w:rPr>
          <w:lang w:val="de-DE"/>
        </w:rPr>
        <w:t>iner Gesundheitsorganisation vorgenommenen Wertübertragungen in Verbind</w:t>
      </w:r>
      <w:r>
        <w:rPr>
          <w:lang w:val="de-DE"/>
        </w:rPr>
        <w:t xml:space="preserve">ung mit Beratungs- und sonstigen Dienstleistungen </w:t>
      </w:r>
      <w:r w:rsidRPr="00415C19">
        <w:rPr>
          <w:lang w:val="de-DE"/>
        </w:rPr>
        <w:t xml:space="preserve">werden vom Geltungsbereich der Offenlegung erfasst. </w:t>
      </w:r>
      <w:r>
        <w:rPr>
          <w:lang w:val="de-DE"/>
        </w:rPr>
        <w:t xml:space="preserve">Bei solchen Wertübertragungsvorgängen kann es sich beispielsweise um Tagungen bzw. Veranstaltungen handeln, bei denen ein </w:t>
      </w:r>
      <w:r w:rsidR="009C204E">
        <w:rPr>
          <w:lang w:val="de-DE"/>
        </w:rPr>
        <w:t>Fachkreisangehöriger</w:t>
      </w:r>
      <w:r>
        <w:rPr>
          <w:lang w:val="de-DE"/>
        </w:rPr>
        <w:t xml:space="preserve"> bzw. ein für eine Gesundheitsorganisation tätiger </w:t>
      </w:r>
      <w:r w:rsidR="009C204E">
        <w:rPr>
          <w:lang w:val="de-DE"/>
        </w:rPr>
        <w:t>Fachkreisangehöriger</w:t>
      </w:r>
      <w:r>
        <w:rPr>
          <w:lang w:val="de-DE"/>
        </w:rPr>
        <w:t xml:space="preserve"> als Redner, Schulungsleiter oder Berater auftritt, wobei hier folgende Kosten eingeschlossen s</w:t>
      </w:r>
      <w:r w:rsidR="0076560A">
        <w:rPr>
          <w:lang w:val="de-DE"/>
        </w:rPr>
        <w:t>e</w:t>
      </w:r>
      <w:r>
        <w:rPr>
          <w:lang w:val="de-DE"/>
        </w:rPr>
        <w:t>in</w:t>
      </w:r>
      <w:r w:rsidR="0076560A">
        <w:rPr>
          <w:lang w:val="de-DE"/>
        </w:rPr>
        <w:t xml:space="preserve"> können</w:t>
      </w:r>
      <w:r>
        <w:rPr>
          <w:lang w:val="de-DE"/>
        </w:rPr>
        <w:t xml:space="preserve">: </w:t>
      </w:r>
    </w:p>
    <w:p w14:paraId="6D369129" w14:textId="77777777" w:rsidR="003E299C" w:rsidRPr="003E299C" w:rsidRDefault="00D00811" w:rsidP="00837AED">
      <w:pPr>
        <w:pStyle w:val="ListParagraph"/>
        <w:widowControl w:val="0"/>
        <w:numPr>
          <w:ilvl w:val="0"/>
          <w:numId w:val="40"/>
        </w:numPr>
        <w:spacing w:after="0"/>
        <w:ind w:left="639" w:hanging="284"/>
        <w:contextualSpacing w:val="0"/>
        <w:jc w:val="both"/>
        <w:rPr>
          <w:lang w:val="de-DE"/>
        </w:rPr>
      </w:pPr>
      <w:r w:rsidRPr="003E299C">
        <w:rPr>
          <w:lang w:val="de-DE"/>
        </w:rPr>
        <w:t>Honorare</w:t>
      </w:r>
      <w:r w:rsidR="003C6889" w:rsidRPr="003E299C">
        <w:rPr>
          <w:lang w:val="de-DE"/>
        </w:rPr>
        <w:t xml:space="preserve"> (</w:t>
      </w:r>
      <w:r w:rsidRPr="003E299C">
        <w:rPr>
          <w:lang w:val="de-DE"/>
        </w:rPr>
        <w:t>Honorare/Aufwendungen</w:t>
      </w:r>
      <w:r w:rsidR="003C6889" w:rsidRPr="003E299C">
        <w:rPr>
          <w:lang w:val="de-DE"/>
        </w:rPr>
        <w:t xml:space="preserve"> für Dienstleistungen wie etwa Vorbereitungszeit, Zeitaufwand für Probedurchlauf, Reisezeiten sowie Zeitaufwand für die Tätigkeit selber) </w:t>
      </w:r>
    </w:p>
    <w:p w14:paraId="3008CDAF" w14:textId="616BB2C6" w:rsidR="006813F4" w:rsidRDefault="003C6889" w:rsidP="00837AED">
      <w:pPr>
        <w:pStyle w:val="ListParagraph"/>
        <w:widowControl w:val="0"/>
        <w:numPr>
          <w:ilvl w:val="0"/>
          <w:numId w:val="40"/>
        </w:numPr>
        <w:spacing w:after="0"/>
        <w:ind w:left="639" w:hanging="284"/>
        <w:contextualSpacing w:val="0"/>
        <w:jc w:val="both"/>
        <w:rPr>
          <w:lang w:val="de-DE"/>
        </w:rPr>
      </w:pPr>
      <w:r w:rsidRPr="003E299C">
        <w:rPr>
          <w:lang w:val="de-DE"/>
        </w:rPr>
        <w:t>Ausgaben in Verbindung mit Beratungsdienstleistungen (z. B. Re</w:t>
      </w:r>
      <w:r w:rsidR="003E299C" w:rsidRPr="003E299C">
        <w:rPr>
          <w:lang w:val="de-DE"/>
        </w:rPr>
        <w:t>isekosten, Unterbringungskosten)</w:t>
      </w:r>
    </w:p>
    <w:p w14:paraId="17D2DD4C" w14:textId="77777777" w:rsidR="00837AED" w:rsidRPr="003E299C" w:rsidRDefault="00837AED" w:rsidP="00837AED">
      <w:pPr>
        <w:pStyle w:val="ListParagraph"/>
        <w:widowControl w:val="0"/>
        <w:spacing w:after="0"/>
        <w:ind w:left="639"/>
        <w:contextualSpacing w:val="0"/>
        <w:jc w:val="both"/>
        <w:rPr>
          <w:lang w:val="de-DE"/>
        </w:rPr>
      </w:pPr>
    </w:p>
    <w:p w14:paraId="4EE4F42C" w14:textId="5F81E155" w:rsidR="00887500" w:rsidRDefault="001F274A" w:rsidP="00FD7DFC">
      <w:pPr>
        <w:jc w:val="both"/>
        <w:rPr>
          <w:i/>
          <w:color w:val="000000"/>
          <w:lang w:val="de-DE"/>
        </w:rPr>
      </w:pPr>
      <w:r w:rsidRPr="002068EA">
        <w:rPr>
          <w:color w:val="000000"/>
          <w:lang w:val="de-DE"/>
        </w:rPr>
        <w:t>Beispiele für Honorare</w:t>
      </w:r>
      <w:r w:rsidR="0018351A">
        <w:rPr>
          <w:color w:val="000000"/>
          <w:lang w:val="de-DE"/>
        </w:rPr>
        <w:t>/Aufwendungen</w:t>
      </w:r>
      <w:r w:rsidRPr="002068EA">
        <w:rPr>
          <w:color w:val="000000"/>
          <w:lang w:val="de-DE"/>
        </w:rPr>
        <w:t>, die im Offenlegungsbericht von Takeda unter dem Punkt „Dienstleistungs- und Beratungshonorare (</w:t>
      </w:r>
      <w:r w:rsidR="009C204E">
        <w:rPr>
          <w:color w:val="000000"/>
          <w:lang w:val="de-DE"/>
        </w:rPr>
        <w:t>Fachkreisangehöriger</w:t>
      </w:r>
      <w:r w:rsidRPr="002068EA">
        <w:rPr>
          <w:color w:val="000000"/>
          <w:lang w:val="de-DE"/>
        </w:rPr>
        <w:t xml:space="preserve"> und Gesundheitsorganisationen)“ zusammengefasst werden, sind unter anderem folgende: </w:t>
      </w:r>
      <w:r w:rsidR="00147BF2" w:rsidRPr="002068EA">
        <w:rPr>
          <w:i/>
          <w:color w:val="000000"/>
          <w:lang w:val="de-DE"/>
        </w:rPr>
        <w:t xml:space="preserve">Rednerhonorare im Rahmen von Rednerprogrammen und Diskussionen am runden Tisch; Ad-hoc-Beratungen/Werbe-Vereinbarungen; </w:t>
      </w:r>
      <w:r w:rsidR="00AC598C" w:rsidRPr="002068EA">
        <w:rPr>
          <w:i/>
          <w:color w:val="000000"/>
          <w:lang w:val="de-DE"/>
        </w:rPr>
        <w:t xml:space="preserve">Dozententätigkeit im Rahmen von Schulungsprogrammen für Redner bzw. von Schulungen von Takeda-Mitarbeitern oder externen Teilnehmern/-innen; </w:t>
      </w:r>
      <w:r w:rsidR="00064DDE" w:rsidRPr="002068EA">
        <w:rPr>
          <w:i/>
          <w:color w:val="000000"/>
          <w:lang w:val="de-DE"/>
        </w:rPr>
        <w:t xml:space="preserve">Dozententätigkeit im Rahmen von </w:t>
      </w:r>
      <w:r w:rsidR="002068EA" w:rsidRPr="002068EA">
        <w:rPr>
          <w:i/>
          <w:color w:val="000000"/>
          <w:lang w:val="de-DE"/>
        </w:rPr>
        <w:t xml:space="preserve">Fachbeiratssitzungen (Advisory Boards); Teilnahme an Marktforschungsstudien (nur, sofern es sich nicht um eine </w:t>
      </w:r>
      <w:r w:rsidR="0018351A">
        <w:rPr>
          <w:i/>
          <w:color w:val="000000"/>
          <w:lang w:val="de-DE"/>
        </w:rPr>
        <w:t>d</w:t>
      </w:r>
      <w:r w:rsidR="002068EA" w:rsidRPr="002068EA">
        <w:rPr>
          <w:i/>
          <w:color w:val="000000"/>
          <w:lang w:val="de-DE"/>
        </w:rPr>
        <w:t>oppelt</w:t>
      </w:r>
      <w:r w:rsidR="0018351A">
        <w:rPr>
          <w:i/>
          <w:color w:val="000000"/>
          <w:lang w:val="de-DE"/>
        </w:rPr>
        <w:t xml:space="preserve"> ver</w:t>
      </w:r>
      <w:r w:rsidR="002068EA" w:rsidRPr="002068EA">
        <w:rPr>
          <w:i/>
          <w:color w:val="000000"/>
          <w:lang w:val="de-DE"/>
        </w:rPr>
        <w:t>blind</w:t>
      </w:r>
      <w:r w:rsidR="0018351A">
        <w:rPr>
          <w:i/>
          <w:color w:val="000000"/>
          <w:lang w:val="de-DE"/>
        </w:rPr>
        <w:t>ete</w:t>
      </w:r>
      <w:r w:rsidR="002068EA" w:rsidRPr="002068EA">
        <w:rPr>
          <w:i/>
          <w:color w:val="000000"/>
          <w:lang w:val="de-DE"/>
        </w:rPr>
        <w:t xml:space="preserve"> Studie handelt); Medical Writing; Datenanalysen; Erstellung von Aus-</w:t>
      </w:r>
      <w:r w:rsidR="003B3BAC">
        <w:rPr>
          <w:i/>
          <w:color w:val="000000"/>
          <w:lang w:val="de-DE"/>
        </w:rPr>
        <w:t xml:space="preserve">oder </w:t>
      </w:r>
      <w:r w:rsidR="002068EA" w:rsidRPr="002068EA">
        <w:rPr>
          <w:i/>
          <w:color w:val="000000"/>
          <w:lang w:val="de-DE"/>
        </w:rPr>
        <w:t>Weiterbildungsunterlagen; Markt</w:t>
      </w:r>
      <w:r w:rsidR="002068EA">
        <w:rPr>
          <w:i/>
          <w:color w:val="000000"/>
          <w:lang w:val="de-DE"/>
        </w:rPr>
        <w:t>untersuchungen (nur, sofern es sich nicht um doppelt</w:t>
      </w:r>
      <w:r w:rsidR="0018351A">
        <w:rPr>
          <w:i/>
          <w:color w:val="000000"/>
          <w:lang w:val="de-DE"/>
        </w:rPr>
        <w:t xml:space="preserve"> v</w:t>
      </w:r>
      <w:r w:rsidR="002068EA">
        <w:rPr>
          <w:i/>
          <w:color w:val="000000"/>
          <w:lang w:val="de-DE"/>
        </w:rPr>
        <w:t>e</w:t>
      </w:r>
      <w:r w:rsidR="0018351A">
        <w:rPr>
          <w:i/>
          <w:color w:val="000000"/>
          <w:lang w:val="de-DE"/>
        </w:rPr>
        <w:t>r</w:t>
      </w:r>
      <w:r w:rsidR="002068EA">
        <w:rPr>
          <w:i/>
          <w:color w:val="000000"/>
          <w:lang w:val="de-DE"/>
        </w:rPr>
        <w:t>blindete Untersuchungen handelt); Beratungsdienstleistungen (z. B. Beratung im Zusammenhang mit Studienprotokollen, Marktzu</w:t>
      </w:r>
      <w:r w:rsidR="00BE5F15">
        <w:rPr>
          <w:i/>
          <w:color w:val="000000"/>
          <w:lang w:val="de-DE"/>
        </w:rPr>
        <w:t>gang, Entschädigungsleistungen</w:t>
      </w:r>
      <w:r w:rsidR="00426EB0">
        <w:rPr>
          <w:i/>
          <w:color w:val="000000"/>
          <w:lang w:val="de-DE"/>
        </w:rPr>
        <w:t>)</w:t>
      </w:r>
    </w:p>
    <w:p w14:paraId="6BB3713B" w14:textId="77777777" w:rsidR="00995A03" w:rsidRPr="002068EA" w:rsidRDefault="00995A03" w:rsidP="00C0602C">
      <w:pPr>
        <w:ind w:left="426"/>
        <w:jc w:val="both"/>
        <w:rPr>
          <w:i/>
          <w:color w:val="000000"/>
          <w:lang w:val="de-DE"/>
        </w:rPr>
      </w:pPr>
    </w:p>
    <w:p w14:paraId="0FE22FC2" w14:textId="5E2F4865" w:rsidR="001E1973" w:rsidRPr="002068EA" w:rsidRDefault="001F274A" w:rsidP="00F9125E">
      <w:pPr>
        <w:pStyle w:val="Heading3"/>
        <w:numPr>
          <w:ilvl w:val="2"/>
          <w:numId w:val="45"/>
        </w:numPr>
        <w:ind w:left="567" w:hanging="567"/>
        <w:jc w:val="both"/>
        <w:rPr>
          <w:rFonts w:asciiTheme="minorHAnsi" w:hAnsiTheme="minorHAnsi"/>
          <w:lang w:val="de-DE"/>
        </w:rPr>
      </w:pPr>
      <w:bookmarkStart w:id="38" w:name="_Toc311393072"/>
      <w:bookmarkStart w:id="39" w:name="_Toc313555997"/>
      <w:bookmarkStart w:id="40" w:name="_Toc453080759"/>
      <w:r w:rsidRPr="002068EA">
        <w:rPr>
          <w:rFonts w:asciiTheme="minorHAnsi" w:hAnsiTheme="minorHAnsi"/>
          <w:lang w:val="de-DE"/>
        </w:rPr>
        <w:t xml:space="preserve">Forschung </w:t>
      </w:r>
      <w:r w:rsidR="00602401" w:rsidRPr="002068EA">
        <w:rPr>
          <w:rFonts w:asciiTheme="minorHAnsi" w:hAnsiTheme="minorHAnsi"/>
          <w:lang w:val="de-DE"/>
        </w:rPr>
        <w:t xml:space="preserve"> </w:t>
      </w:r>
      <w:r w:rsidR="001E1973" w:rsidRPr="002068EA">
        <w:rPr>
          <w:rFonts w:asciiTheme="minorHAnsi" w:hAnsiTheme="minorHAnsi"/>
          <w:lang w:val="de-DE"/>
        </w:rPr>
        <w:t>&amp;</w:t>
      </w:r>
      <w:r w:rsidR="00602401" w:rsidRPr="002068EA">
        <w:rPr>
          <w:rFonts w:asciiTheme="minorHAnsi" w:hAnsiTheme="minorHAnsi"/>
          <w:lang w:val="de-DE"/>
        </w:rPr>
        <w:t xml:space="preserve"> </w:t>
      </w:r>
      <w:bookmarkEnd w:id="37"/>
      <w:bookmarkEnd w:id="38"/>
      <w:r w:rsidRPr="002068EA">
        <w:rPr>
          <w:rFonts w:asciiTheme="minorHAnsi" w:hAnsiTheme="minorHAnsi"/>
          <w:lang w:val="de-DE"/>
        </w:rPr>
        <w:t>Entwicklung</w:t>
      </w:r>
      <w:bookmarkEnd w:id="39"/>
      <w:bookmarkEnd w:id="40"/>
    </w:p>
    <w:p w14:paraId="0C2A1CD5" w14:textId="403B6344" w:rsidR="004525A3" w:rsidRDefault="00B45705" w:rsidP="003E299C">
      <w:pPr>
        <w:pStyle w:val="ListParagraph"/>
        <w:ind w:left="0" w:right="92"/>
        <w:jc w:val="both"/>
        <w:rPr>
          <w:lang w:val="de-DE"/>
        </w:rPr>
      </w:pPr>
      <w:r w:rsidRPr="00F515D3">
        <w:rPr>
          <w:lang w:val="de-DE"/>
        </w:rPr>
        <w:t xml:space="preserve">Sämtliche </w:t>
      </w:r>
      <w:r w:rsidRPr="00415C19">
        <w:rPr>
          <w:lang w:val="de-DE"/>
        </w:rPr>
        <w:t>in Verbind</w:t>
      </w:r>
      <w:r>
        <w:rPr>
          <w:lang w:val="de-DE"/>
        </w:rPr>
        <w:t xml:space="preserve">ung mit Aktivitäten im Bereich Forschung und </w:t>
      </w:r>
      <w:r w:rsidR="006004DD">
        <w:rPr>
          <w:lang w:val="de-DE"/>
        </w:rPr>
        <w:t>Entwicklung</w:t>
      </w:r>
      <w:r>
        <w:rPr>
          <w:lang w:val="de-DE"/>
        </w:rPr>
        <w:t xml:space="preserve"> (F &amp; E) </w:t>
      </w:r>
      <w:r w:rsidRPr="00415C19">
        <w:rPr>
          <w:lang w:val="de-DE"/>
        </w:rPr>
        <w:t xml:space="preserve">vorgenommenen Wertübertragungen werden vom Geltungsbereich der Offenlegung erfasst. </w:t>
      </w:r>
      <w:r w:rsidR="00CF398A">
        <w:rPr>
          <w:lang w:val="de-DE"/>
        </w:rPr>
        <w:t>Zu solche</w:t>
      </w:r>
      <w:r w:rsidR="005A6CC2">
        <w:rPr>
          <w:lang w:val="de-DE"/>
        </w:rPr>
        <w:t xml:space="preserve">n </w:t>
      </w:r>
      <w:r w:rsidR="00CF398A">
        <w:rPr>
          <w:lang w:val="de-DE"/>
        </w:rPr>
        <w:t>V</w:t>
      </w:r>
      <w:r>
        <w:rPr>
          <w:lang w:val="de-DE"/>
        </w:rPr>
        <w:t xml:space="preserve">orgängen </w:t>
      </w:r>
      <w:r w:rsidR="00CF398A">
        <w:rPr>
          <w:lang w:val="de-DE"/>
        </w:rPr>
        <w:t xml:space="preserve">gehören Wertübertragungen an </w:t>
      </w:r>
      <w:r w:rsidR="009C204E">
        <w:rPr>
          <w:lang w:val="de-DE"/>
        </w:rPr>
        <w:t>Fachkreisangehörige</w:t>
      </w:r>
      <w:r w:rsidR="00CF398A">
        <w:rPr>
          <w:lang w:val="de-DE"/>
        </w:rPr>
        <w:t xml:space="preserve"> oder Gesundheitsorganisationen in Verbindung mit der Planung bzw. Durchführung von:</w:t>
      </w:r>
    </w:p>
    <w:p w14:paraId="214D2B69" w14:textId="77777777" w:rsidR="00F9125E" w:rsidRPr="00B45705" w:rsidRDefault="00F9125E" w:rsidP="003E299C">
      <w:pPr>
        <w:pStyle w:val="ListParagraph"/>
        <w:ind w:left="0" w:right="92"/>
        <w:jc w:val="both"/>
        <w:rPr>
          <w:lang w:val="de-DE"/>
        </w:rPr>
      </w:pPr>
    </w:p>
    <w:p w14:paraId="1148D509" w14:textId="17AB266D" w:rsidR="006D198A" w:rsidRDefault="005A6CC2" w:rsidP="003E299C">
      <w:pPr>
        <w:pStyle w:val="ListParagraph"/>
        <w:widowControl w:val="0"/>
        <w:numPr>
          <w:ilvl w:val="0"/>
          <w:numId w:val="40"/>
        </w:numPr>
        <w:spacing w:after="0"/>
        <w:ind w:left="639" w:hanging="284"/>
        <w:contextualSpacing w:val="0"/>
        <w:jc w:val="both"/>
        <w:rPr>
          <w:lang w:val="de-DE"/>
        </w:rPr>
      </w:pPr>
      <w:r>
        <w:rPr>
          <w:lang w:val="de-DE"/>
        </w:rPr>
        <w:t>n</w:t>
      </w:r>
      <w:r w:rsidR="00CF398A" w:rsidRPr="00CF398A">
        <w:rPr>
          <w:lang w:val="de-DE"/>
        </w:rPr>
        <w:t>icht-klinische</w:t>
      </w:r>
      <w:r w:rsidR="00CF398A">
        <w:rPr>
          <w:lang w:val="de-DE"/>
        </w:rPr>
        <w:t>n</w:t>
      </w:r>
      <w:r w:rsidR="00CF398A" w:rsidRPr="00CF398A">
        <w:rPr>
          <w:lang w:val="de-DE"/>
        </w:rPr>
        <w:t xml:space="preserve"> Studien mit dem Ziel der Einreichung bei Zulassungsbehörden (gemäß Definition in den </w:t>
      </w:r>
      <w:r w:rsidR="00CF398A">
        <w:rPr>
          <w:lang w:val="de-DE"/>
        </w:rPr>
        <w:t>OECD-Grundsätzen zur Guten Laborpraxis)</w:t>
      </w:r>
    </w:p>
    <w:p w14:paraId="3FA1F017" w14:textId="644B40EC" w:rsidR="004525A3" w:rsidRPr="00117D4E" w:rsidRDefault="005A6CC2" w:rsidP="003E299C">
      <w:pPr>
        <w:pStyle w:val="ListParagraph"/>
        <w:widowControl w:val="0"/>
        <w:numPr>
          <w:ilvl w:val="0"/>
          <w:numId w:val="40"/>
        </w:numPr>
        <w:spacing w:after="0"/>
        <w:ind w:left="639" w:hanging="284"/>
        <w:contextualSpacing w:val="0"/>
        <w:jc w:val="both"/>
        <w:rPr>
          <w:lang w:val="de-DE"/>
        </w:rPr>
      </w:pPr>
      <w:r>
        <w:rPr>
          <w:lang w:val="de-DE"/>
        </w:rPr>
        <w:t>k</w:t>
      </w:r>
      <w:r w:rsidR="00CF398A" w:rsidRPr="00117D4E">
        <w:rPr>
          <w:lang w:val="de-DE"/>
        </w:rPr>
        <w:t xml:space="preserve">linischen Studien (gemäß Definition in der </w:t>
      </w:r>
      <w:r w:rsidR="00117D4E" w:rsidRPr="00117D4E">
        <w:rPr>
          <w:lang w:val="de-DE"/>
        </w:rPr>
        <w:t>Europäischen Richtlinie 2001/20/EG), und zwar von</w:t>
      </w:r>
    </w:p>
    <w:p w14:paraId="5D0C6C47" w14:textId="19EDFA7C" w:rsidR="004525A3" w:rsidRPr="00956DE7" w:rsidRDefault="00956DE7" w:rsidP="003E299C">
      <w:pPr>
        <w:pStyle w:val="ListParagraph"/>
        <w:numPr>
          <w:ilvl w:val="1"/>
          <w:numId w:val="53"/>
        </w:numPr>
        <w:jc w:val="both"/>
        <w:rPr>
          <w:color w:val="000000"/>
          <w:lang w:val="de-DE"/>
        </w:rPr>
      </w:pPr>
      <w:r w:rsidRPr="00956DE7">
        <w:rPr>
          <w:color w:val="000000"/>
          <w:lang w:val="de-DE"/>
        </w:rPr>
        <w:t>klinischen Prüfungen an Menschen unter Verabreichung eines noch nicht zugelassenen Medikamentes;</w:t>
      </w:r>
    </w:p>
    <w:p w14:paraId="21F1AAED" w14:textId="31CC265B" w:rsidR="004525A3" w:rsidRPr="00F30CA4" w:rsidRDefault="00956DE7" w:rsidP="003E299C">
      <w:pPr>
        <w:pStyle w:val="ListParagraph"/>
        <w:numPr>
          <w:ilvl w:val="1"/>
          <w:numId w:val="53"/>
        </w:numPr>
        <w:jc w:val="both"/>
        <w:rPr>
          <w:color w:val="000000"/>
          <w:lang w:val="de-DE"/>
        </w:rPr>
      </w:pPr>
      <w:r w:rsidRPr="00F30CA4">
        <w:rPr>
          <w:color w:val="000000"/>
          <w:lang w:val="de-DE"/>
        </w:rPr>
        <w:t>klinischen Prüfungen an Menschen unter Verabreichung eines bereits zugelassenen Medikamentes, das jedoch in einer nicht zugelassenen Indikation geprüft bzw. nicht im Rahmen seiner Marktzulassung verschrieben wird</w:t>
      </w:r>
      <w:r w:rsidR="00F30CA4" w:rsidRPr="00F30CA4">
        <w:rPr>
          <w:color w:val="000000"/>
          <w:lang w:val="de-DE"/>
        </w:rPr>
        <w:t xml:space="preserve">, bzw. im Rahmen derer Patienten prospektiv unterschiedlichen Behandlungen zugeteilt werden oder bei denen das Studienprotokoll diagnostische Verfahren bzw. </w:t>
      </w:r>
      <w:r w:rsidR="00F30CA4">
        <w:rPr>
          <w:color w:val="000000"/>
          <w:lang w:val="de-DE"/>
        </w:rPr>
        <w:t>Vorgänge der medizinischen Überwachung erforder</w:t>
      </w:r>
      <w:r w:rsidR="00151DF4">
        <w:rPr>
          <w:color w:val="000000"/>
          <w:lang w:val="de-DE"/>
        </w:rPr>
        <w:t>t</w:t>
      </w:r>
      <w:r w:rsidR="00F30CA4">
        <w:rPr>
          <w:color w:val="000000"/>
          <w:lang w:val="de-DE"/>
        </w:rPr>
        <w:t>, die nicht durchgeführt worden wären, wenn der betreffende Patient nicht in der Studie eingeschlossen gewesen wäre;</w:t>
      </w:r>
    </w:p>
    <w:p w14:paraId="574A9324" w14:textId="7FE84101" w:rsidR="004525A3" w:rsidRPr="008C098F" w:rsidRDefault="00482F40" w:rsidP="003E299C">
      <w:pPr>
        <w:pStyle w:val="ListParagraph"/>
        <w:numPr>
          <w:ilvl w:val="1"/>
          <w:numId w:val="53"/>
        </w:numPr>
        <w:jc w:val="both"/>
        <w:rPr>
          <w:color w:val="000000"/>
          <w:lang w:val="de-DE"/>
        </w:rPr>
      </w:pPr>
      <w:r w:rsidRPr="008C098F">
        <w:rPr>
          <w:color w:val="000000"/>
          <w:lang w:val="de-DE"/>
        </w:rPr>
        <w:t xml:space="preserve">von sonstigen an Menschen durchgeführten klinischen Prüfungen, für die eine Genehmigung durch die betreffenden </w:t>
      </w:r>
      <w:r w:rsidR="008C098F" w:rsidRPr="008C098F">
        <w:rPr>
          <w:color w:val="000000"/>
          <w:lang w:val="de-DE"/>
        </w:rPr>
        <w:t>Zulassungsbehörden erforderlich wäre, sofern die Studie gemäß der EU-Richtlinie 2001/20/EG in einem Land der Europäi</w:t>
      </w:r>
      <w:r w:rsidR="0060337B">
        <w:rPr>
          <w:color w:val="000000"/>
          <w:lang w:val="de-DE"/>
        </w:rPr>
        <w:t>s</w:t>
      </w:r>
      <w:r w:rsidR="008C098F" w:rsidRPr="008C098F">
        <w:rPr>
          <w:color w:val="000000"/>
          <w:lang w:val="de-DE"/>
        </w:rPr>
        <w:t>chen Union durchzuführen wäre.</w:t>
      </w:r>
    </w:p>
    <w:p w14:paraId="7E6171B8" w14:textId="00DAA049" w:rsidR="006D198A" w:rsidRPr="006004DD" w:rsidRDefault="0060337B" w:rsidP="00A76A0C">
      <w:pPr>
        <w:pStyle w:val="ListParagraph"/>
        <w:numPr>
          <w:ilvl w:val="0"/>
          <w:numId w:val="40"/>
        </w:numPr>
        <w:ind w:left="709" w:hanging="425"/>
        <w:jc w:val="both"/>
        <w:rPr>
          <w:color w:val="000000"/>
          <w:lang w:val="de-AT"/>
        </w:rPr>
      </w:pPr>
      <w:r w:rsidRPr="0060337B">
        <w:rPr>
          <w:color w:val="000000"/>
          <w:lang w:val="de-DE"/>
        </w:rPr>
        <w:lastRenderedPageBreak/>
        <w:t>prospektiven Beobachtungsstudien, bei denen den betreffenden Patienten ein zugelassenes Medikament verschrieben w</w:t>
      </w:r>
      <w:r w:rsidR="00A6286C">
        <w:rPr>
          <w:color w:val="000000"/>
          <w:lang w:val="de-DE"/>
        </w:rPr>
        <w:t>i</w:t>
      </w:r>
      <w:r w:rsidRPr="0060337B">
        <w:rPr>
          <w:color w:val="000000"/>
          <w:lang w:val="de-DE"/>
        </w:rPr>
        <w:t>rd und die Patienten mit d</w:t>
      </w:r>
      <w:r>
        <w:rPr>
          <w:color w:val="000000"/>
          <w:lang w:val="de-DE"/>
        </w:rPr>
        <w:t>i</w:t>
      </w:r>
      <w:r w:rsidRPr="0060337B">
        <w:rPr>
          <w:color w:val="000000"/>
          <w:lang w:val="de-DE"/>
        </w:rPr>
        <w:t>e</w:t>
      </w:r>
      <w:r>
        <w:rPr>
          <w:color w:val="000000"/>
          <w:lang w:val="de-DE"/>
        </w:rPr>
        <w:t>se</w:t>
      </w:r>
      <w:r w:rsidRPr="0060337B">
        <w:rPr>
          <w:color w:val="000000"/>
          <w:lang w:val="de-DE"/>
        </w:rPr>
        <w:t xml:space="preserve">m Medikament entsprechend der Marktzulassung sowie der gegenwärtig üblichen Praxis </w:t>
      </w:r>
      <w:r>
        <w:rPr>
          <w:color w:val="000000"/>
          <w:lang w:val="de-DE"/>
        </w:rPr>
        <w:t xml:space="preserve">und den übrigen in Abschnitt 15.01 </w:t>
      </w:r>
      <w:r w:rsidR="00A6286C">
        <w:rPr>
          <w:color w:val="000000"/>
          <w:lang w:val="de-DE"/>
        </w:rPr>
        <w:t xml:space="preserve">des </w:t>
      </w:r>
      <w:r w:rsidR="00A6286C" w:rsidRPr="0060337B">
        <w:rPr>
          <w:color w:val="000000"/>
          <w:lang w:val="de-DE"/>
        </w:rPr>
        <w:t>EFPIA HCP</w:t>
      </w:r>
      <w:r w:rsidR="000935D7">
        <w:rPr>
          <w:color w:val="000000"/>
          <w:lang w:val="de-DE"/>
        </w:rPr>
        <w:t>-</w:t>
      </w:r>
      <w:r w:rsidR="00A6286C" w:rsidRPr="0060337B">
        <w:rPr>
          <w:color w:val="000000"/>
          <w:lang w:val="de-DE"/>
        </w:rPr>
        <w:t>Code</w:t>
      </w:r>
      <w:r w:rsidR="00A6286C">
        <w:rPr>
          <w:color w:val="000000"/>
          <w:lang w:val="de-DE"/>
        </w:rPr>
        <w:t xml:space="preserve">s </w:t>
      </w:r>
      <w:r w:rsidR="00DE0AD2">
        <w:rPr>
          <w:color w:val="000000"/>
          <w:lang w:val="de-DE"/>
        </w:rPr>
        <w:t xml:space="preserve">genannten Anforderungen </w:t>
      </w:r>
      <w:r w:rsidR="00A6286C">
        <w:rPr>
          <w:color w:val="000000"/>
          <w:lang w:val="de-DE"/>
        </w:rPr>
        <w:t>behandelt werden.</w:t>
      </w:r>
    </w:p>
    <w:p w14:paraId="08AAF4B6" w14:textId="74A558E4" w:rsidR="004525A3" w:rsidRPr="004525A3" w:rsidRDefault="00A6286C" w:rsidP="006D198A">
      <w:pPr>
        <w:pStyle w:val="ListParagraph"/>
        <w:numPr>
          <w:ilvl w:val="0"/>
          <w:numId w:val="40"/>
        </w:numPr>
        <w:ind w:left="709" w:hanging="425"/>
        <w:jc w:val="both"/>
        <w:rPr>
          <w:color w:val="000000"/>
        </w:rPr>
      </w:pPr>
      <w:r w:rsidRPr="006004DD">
        <w:rPr>
          <w:color w:val="000000"/>
          <w:lang w:val="de-AT"/>
        </w:rPr>
        <w:t>Sonstige</w:t>
      </w:r>
      <w:r w:rsidRPr="006004DD">
        <w:rPr>
          <w:color w:val="000000"/>
          <w:lang w:val="de-DE"/>
        </w:rPr>
        <w:t xml:space="preserve"> Arten</w:t>
      </w:r>
      <w:r>
        <w:rPr>
          <w:color w:val="000000"/>
        </w:rPr>
        <w:t xml:space="preserve"> von</w:t>
      </w:r>
      <w:r w:rsidRPr="006004DD">
        <w:rPr>
          <w:color w:val="000000"/>
          <w:lang w:val="de-DE"/>
        </w:rPr>
        <w:t xml:space="preserve"> Aktivitäten</w:t>
      </w:r>
      <w:r>
        <w:rPr>
          <w:color w:val="000000"/>
        </w:rPr>
        <w:t>:</w:t>
      </w:r>
    </w:p>
    <w:p w14:paraId="49BEE24C" w14:textId="4A06AAF8" w:rsidR="004525A3" w:rsidRPr="003A51D2" w:rsidRDefault="00A6286C" w:rsidP="00837AED">
      <w:pPr>
        <w:pStyle w:val="ListParagraph"/>
        <w:numPr>
          <w:ilvl w:val="0"/>
          <w:numId w:val="54"/>
        </w:numPr>
        <w:jc w:val="both"/>
        <w:rPr>
          <w:color w:val="000000"/>
          <w:lang w:val="de-DE"/>
        </w:rPr>
      </w:pPr>
      <w:r w:rsidRPr="003A51D2">
        <w:rPr>
          <w:color w:val="000000"/>
          <w:lang w:val="de-DE"/>
        </w:rPr>
        <w:t>Aktivitäten in Verbindung mit Planungen bezüglich der Patiente</w:t>
      </w:r>
      <w:r w:rsidR="001C3A4A">
        <w:rPr>
          <w:color w:val="000000"/>
          <w:lang w:val="de-DE"/>
        </w:rPr>
        <w:t>n</w:t>
      </w:r>
      <w:r w:rsidRPr="003A51D2">
        <w:rPr>
          <w:color w:val="000000"/>
          <w:lang w:val="de-DE"/>
        </w:rPr>
        <w:t>rekrutierung, des Designs oder des Zeitrahmens von nicht-kl</w:t>
      </w:r>
      <w:r w:rsidR="003A51D2" w:rsidRPr="003A51D2">
        <w:rPr>
          <w:color w:val="000000"/>
          <w:lang w:val="de-DE"/>
        </w:rPr>
        <w:t>i</w:t>
      </w:r>
      <w:r w:rsidRPr="003A51D2">
        <w:rPr>
          <w:color w:val="000000"/>
          <w:lang w:val="de-DE"/>
        </w:rPr>
        <w:t>nischen</w:t>
      </w:r>
      <w:r w:rsidR="003A51D2" w:rsidRPr="003A51D2">
        <w:rPr>
          <w:color w:val="000000"/>
          <w:lang w:val="de-DE"/>
        </w:rPr>
        <w:t xml:space="preserve"> bzw.</w:t>
      </w:r>
      <w:r w:rsidRPr="003A51D2">
        <w:rPr>
          <w:color w:val="000000"/>
          <w:lang w:val="de-DE"/>
        </w:rPr>
        <w:t xml:space="preserve"> klinischen </w:t>
      </w:r>
      <w:r w:rsidR="003A51D2" w:rsidRPr="003A51D2">
        <w:rPr>
          <w:color w:val="000000"/>
          <w:lang w:val="de-DE"/>
        </w:rPr>
        <w:t xml:space="preserve">Studien </w:t>
      </w:r>
      <w:r w:rsidRPr="003A51D2">
        <w:rPr>
          <w:color w:val="000000"/>
          <w:lang w:val="de-DE"/>
        </w:rPr>
        <w:t>und/oder pr</w:t>
      </w:r>
      <w:r w:rsidR="003A51D2" w:rsidRPr="003A51D2">
        <w:rPr>
          <w:color w:val="000000"/>
          <w:lang w:val="de-DE"/>
        </w:rPr>
        <w:t>ospektiven Beobachtungsstudien im Rahmen eines Entwicklungsplans für ein bestimmtes Medikament;</w:t>
      </w:r>
    </w:p>
    <w:p w14:paraId="66EE499E" w14:textId="7CD9BD2A" w:rsidR="004525A3" w:rsidRPr="003A51D2" w:rsidRDefault="003A51D2" w:rsidP="00837AED">
      <w:pPr>
        <w:pStyle w:val="ListParagraph"/>
        <w:numPr>
          <w:ilvl w:val="0"/>
          <w:numId w:val="54"/>
        </w:numPr>
        <w:jc w:val="both"/>
        <w:rPr>
          <w:color w:val="000000"/>
          <w:lang w:val="de-DE"/>
        </w:rPr>
      </w:pPr>
      <w:r w:rsidRPr="003A51D2">
        <w:rPr>
          <w:color w:val="000000"/>
          <w:lang w:val="de-DE"/>
        </w:rPr>
        <w:t>Aktivitäten in Verbindung mit der Planung konkreter nicht-klinische</w:t>
      </w:r>
      <w:r>
        <w:rPr>
          <w:color w:val="000000"/>
          <w:lang w:val="de-DE"/>
        </w:rPr>
        <w:t>r</w:t>
      </w:r>
      <w:r w:rsidRPr="003A51D2">
        <w:rPr>
          <w:color w:val="000000"/>
          <w:lang w:val="de-DE"/>
        </w:rPr>
        <w:t xml:space="preserve"> bzw. klinische</w:t>
      </w:r>
      <w:r>
        <w:rPr>
          <w:color w:val="000000"/>
          <w:lang w:val="de-DE"/>
        </w:rPr>
        <w:t>r</w:t>
      </w:r>
      <w:r w:rsidRPr="003A51D2">
        <w:rPr>
          <w:color w:val="000000"/>
          <w:lang w:val="de-DE"/>
        </w:rPr>
        <w:t xml:space="preserve"> Studien und/oder prospektive</w:t>
      </w:r>
      <w:r>
        <w:rPr>
          <w:color w:val="000000"/>
          <w:lang w:val="de-DE"/>
        </w:rPr>
        <w:t>r</w:t>
      </w:r>
      <w:r w:rsidRPr="003A51D2">
        <w:rPr>
          <w:color w:val="000000"/>
          <w:lang w:val="de-DE"/>
        </w:rPr>
        <w:t xml:space="preserve"> Beobachtungsstudien</w:t>
      </w:r>
      <w:r>
        <w:rPr>
          <w:color w:val="000000"/>
          <w:lang w:val="de-DE"/>
        </w:rPr>
        <w:t>;</w:t>
      </w:r>
    </w:p>
    <w:p w14:paraId="37CE00AB" w14:textId="72637E2D" w:rsidR="004525A3" w:rsidRPr="003A51D2" w:rsidRDefault="003A51D2" w:rsidP="00837AED">
      <w:pPr>
        <w:pStyle w:val="ListParagraph"/>
        <w:numPr>
          <w:ilvl w:val="0"/>
          <w:numId w:val="54"/>
        </w:numPr>
        <w:jc w:val="both"/>
        <w:rPr>
          <w:color w:val="000000"/>
          <w:lang w:val="de-DE"/>
        </w:rPr>
      </w:pPr>
      <w:r w:rsidRPr="003A51D2">
        <w:rPr>
          <w:color w:val="000000"/>
          <w:lang w:val="de-DE"/>
        </w:rPr>
        <w:t xml:space="preserve">Aktivitäten in Verbindung mit der </w:t>
      </w:r>
      <w:r>
        <w:rPr>
          <w:color w:val="000000"/>
          <w:lang w:val="de-DE"/>
        </w:rPr>
        <w:t>Durchführ</w:t>
      </w:r>
      <w:r w:rsidRPr="003A51D2">
        <w:rPr>
          <w:color w:val="000000"/>
          <w:lang w:val="de-DE"/>
        </w:rPr>
        <w:t>ung konkreter nicht-klinische</w:t>
      </w:r>
      <w:r>
        <w:rPr>
          <w:color w:val="000000"/>
          <w:lang w:val="de-DE"/>
        </w:rPr>
        <w:t>r</w:t>
      </w:r>
      <w:r w:rsidRPr="003A51D2">
        <w:rPr>
          <w:color w:val="000000"/>
          <w:lang w:val="de-DE"/>
        </w:rPr>
        <w:t xml:space="preserve"> bzw. klinische</w:t>
      </w:r>
      <w:r>
        <w:rPr>
          <w:color w:val="000000"/>
          <w:lang w:val="de-DE"/>
        </w:rPr>
        <w:t>r</w:t>
      </w:r>
      <w:r w:rsidRPr="003A51D2">
        <w:rPr>
          <w:color w:val="000000"/>
          <w:lang w:val="de-DE"/>
        </w:rPr>
        <w:t xml:space="preserve"> Studien und/oder prospektive</w:t>
      </w:r>
      <w:r>
        <w:rPr>
          <w:color w:val="000000"/>
          <w:lang w:val="de-DE"/>
        </w:rPr>
        <w:t>r</w:t>
      </w:r>
      <w:r w:rsidRPr="003A51D2">
        <w:rPr>
          <w:color w:val="000000"/>
          <w:lang w:val="de-DE"/>
        </w:rPr>
        <w:t xml:space="preserve"> Beobachtungsstudien</w:t>
      </w:r>
      <w:r>
        <w:rPr>
          <w:color w:val="000000"/>
          <w:lang w:val="de-DE"/>
        </w:rPr>
        <w:t>.</w:t>
      </w:r>
    </w:p>
    <w:p w14:paraId="13F4B9F4" w14:textId="6DEC7E2E" w:rsidR="00932C92" w:rsidRPr="00932C92" w:rsidRDefault="00932C92" w:rsidP="00932C92">
      <w:pPr>
        <w:jc w:val="both"/>
        <w:rPr>
          <w:color w:val="000000"/>
          <w:lang w:val="de-DE"/>
        </w:rPr>
      </w:pPr>
      <w:r w:rsidRPr="00932C92">
        <w:rPr>
          <w:color w:val="000000"/>
          <w:lang w:val="de-DE"/>
        </w:rPr>
        <w:t xml:space="preserve">Beispiele für unter der Kategorie „Wertübertragungen im Rahmen von Forschungs- und Entwicklungstätigkeiten“ im Offenlegungsbericht von Takeda aufgeführte Aktivitäten </w:t>
      </w:r>
      <w:r>
        <w:rPr>
          <w:color w:val="000000"/>
          <w:lang w:val="de-DE"/>
        </w:rPr>
        <w:t>umfassen</w:t>
      </w:r>
      <w:r w:rsidRPr="00932C92">
        <w:rPr>
          <w:color w:val="000000"/>
          <w:lang w:val="de-DE"/>
        </w:rPr>
        <w:t xml:space="preserve">: </w:t>
      </w:r>
      <w:r>
        <w:rPr>
          <w:i/>
          <w:color w:val="000000"/>
          <w:lang w:val="de-DE"/>
        </w:rPr>
        <w:t>k</w:t>
      </w:r>
      <w:r w:rsidRPr="00932C92">
        <w:rPr>
          <w:i/>
          <w:color w:val="000000"/>
          <w:lang w:val="de-DE"/>
        </w:rPr>
        <w:t>lini</w:t>
      </w:r>
      <w:r>
        <w:rPr>
          <w:i/>
          <w:color w:val="000000"/>
          <w:lang w:val="de-DE"/>
        </w:rPr>
        <w:t>s</w:t>
      </w:r>
      <w:r w:rsidRPr="00932C92">
        <w:rPr>
          <w:i/>
          <w:color w:val="000000"/>
          <w:lang w:val="de-DE"/>
        </w:rPr>
        <w:t>c</w:t>
      </w:r>
      <w:r>
        <w:rPr>
          <w:i/>
          <w:color w:val="000000"/>
          <w:lang w:val="de-DE"/>
        </w:rPr>
        <w:t>he Prüfungen;</w:t>
      </w:r>
      <w:r w:rsidRPr="00932C92">
        <w:rPr>
          <w:i/>
          <w:color w:val="000000"/>
          <w:lang w:val="de-DE"/>
        </w:rPr>
        <w:t xml:space="preserve"> regional</w:t>
      </w:r>
      <w:r>
        <w:rPr>
          <w:i/>
          <w:color w:val="000000"/>
          <w:lang w:val="de-DE"/>
        </w:rPr>
        <w:t>e</w:t>
      </w:r>
      <w:r w:rsidRPr="00932C92">
        <w:rPr>
          <w:i/>
          <w:color w:val="000000"/>
          <w:lang w:val="de-DE"/>
        </w:rPr>
        <w:t xml:space="preserve"> </w:t>
      </w:r>
      <w:r>
        <w:rPr>
          <w:i/>
          <w:color w:val="000000"/>
          <w:lang w:val="de-DE"/>
        </w:rPr>
        <w:t>u</w:t>
      </w:r>
      <w:r w:rsidRPr="00932C92">
        <w:rPr>
          <w:i/>
          <w:color w:val="000000"/>
          <w:lang w:val="de-DE"/>
        </w:rPr>
        <w:t>nd/o</w:t>
      </w:r>
      <w:r>
        <w:rPr>
          <w:i/>
          <w:color w:val="000000"/>
          <w:lang w:val="de-DE"/>
        </w:rPr>
        <w:t>de</w:t>
      </w:r>
      <w:r w:rsidRPr="00932C92">
        <w:rPr>
          <w:i/>
          <w:color w:val="000000"/>
          <w:lang w:val="de-DE"/>
        </w:rPr>
        <w:t>r global</w:t>
      </w:r>
      <w:r>
        <w:rPr>
          <w:i/>
          <w:color w:val="000000"/>
          <w:lang w:val="de-DE"/>
        </w:rPr>
        <w:t>e</w:t>
      </w:r>
      <w:r w:rsidRPr="00932C92">
        <w:rPr>
          <w:i/>
          <w:color w:val="000000"/>
          <w:lang w:val="de-DE"/>
        </w:rPr>
        <w:t>, lo</w:t>
      </w:r>
      <w:r>
        <w:rPr>
          <w:i/>
          <w:color w:val="000000"/>
          <w:lang w:val="de-DE"/>
        </w:rPr>
        <w:t>k</w:t>
      </w:r>
      <w:r w:rsidRPr="00932C92">
        <w:rPr>
          <w:i/>
          <w:color w:val="000000"/>
          <w:lang w:val="de-DE"/>
        </w:rPr>
        <w:t>al</w:t>
      </w:r>
      <w:r>
        <w:rPr>
          <w:i/>
          <w:color w:val="000000"/>
          <w:lang w:val="de-DE"/>
        </w:rPr>
        <w:t>e nicht-</w:t>
      </w:r>
      <w:r w:rsidRPr="00932C92">
        <w:rPr>
          <w:i/>
          <w:color w:val="000000"/>
          <w:lang w:val="de-DE"/>
        </w:rPr>
        <w:t>intervention</w:t>
      </w:r>
      <w:r>
        <w:rPr>
          <w:i/>
          <w:color w:val="000000"/>
          <w:lang w:val="de-DE"/>
        </w:rPr>
        <w:t>e</w:t>
      </w:r>
      <w:r w:rsidRPr="00932C92">
        <w:rPr>
          <w:i/>
          <w:color w:val="000000"/>
          <w:lang w:val="de-DE"/>
        </w:rPr>
        <w:t>l</w:t>
      </w:r>
      <w:r>
        <w:rPr>
          <w:i/>
          <w:color w:val="000000"/>
          <w:lang w:val="de-DE"/>
        </w:rPr>
        <w:t>le Studien.</w:t>
      </w:r>
    </w:p>
    <w:p w14:paraId="0B53E78B" w14:textId="1D1406AA" w:rsidR="006A678A" w:rsidRDefault="00F1499F" w:rsidP="002B57FC">
      <w:pPr>
        <w:jc w:val="both"/>
        <w:rPr>
          <w:lang w:val="de-DE"/>
        </w:rPr>
      </w:pPr>
      <w:r w:rsidRPr="00E15F24">
        <w:rPr>
          <w:lang w:val="de-DE"/>
        </w:rPr>
        <w:t>Die indirekt über</w:t>
      </w:r>
      <w:r w:rsidR="00FF15FB" w:rsidRPr="00E15F24">
        <w:rPr>
          <w:lang w:val="de-DE"/>
        </w:rPr>
        <w:t xml:space="preserve"> Auftragsforschungsinst</w:t>
      </w:r>
      <w:r w:rsidR="00143F4E">
        <w:rPr>
          <w:lang w:val="de-DE"/>
        </w:rPr>
        <w:t xml:space="preserve">itute (Clinical Research </w:t>
      </w:r>
      <w:proofErr w:type="spellStart"/>
      <w:r w:rsidR="00143F4E">
        <w:rPr>
          <w:lang w:val="de-DE"/>
        </w:rPr>
        <w:t>Organiz</w:t>
      </w:r>
      <w:r w:rsidR="00FF15FB" w:rsidRPr="00E15F24">
        <w:rPr>
          <w:lang w:val="de-DE"/>
        </w:rPr>
        <w:t>ations</w:t>
      </w:r>
      <w:proofErr w:type="spellEnd"/>
      <w:r w:rsidR="00FF15FB" w:rsidRPr="00E15F24">
        <w:rPr>
          <w:lang w:val="de-DE"/>
        </w:rPr>
        <w:t>, CRO</w:t>
      </w:r>
      <w:r w:rsidR="004F6CE0">
        <w:rPr>
          <w:lang w:val="de-DE"/>
        </w:rPr>
        <w:t>s</w:t>
      </w:r>
      <w:r w:rsidR="00FF15FB" w:rsidRPr="00E15F24">
        <w:rPr>
          <w:lang w:val="de-DE"/>
        </w:rPr>
        <w:t>) getätigte</w:t>
      </w:r>
      <w:r w:rsidR="004F6CE0">
        <w:rPr>
          <w:lang w:val="de-DE"/>
        </w:rPr>
        <w:t>n</w:t>
      </w:r>
      <w:r w:rsidR="00FF15FB" w:rsidRPr="00E15F24">
        <w:rPr>
          <w:lang w:val="de-DE"/>
        </w:rPr>
        <w:t xml:space="preserve"> Wertübertragungen </w:t>
      </w:r>
      <w:r w:rsidR="00E15F24" w:rsidRPr="00E15F24">
        <w:rPr>
          <w:lang w:val="de-DE"/>
        </w:rPr>
        <w:t xml:space="preserve">werden ebenfalls im Abschnitt </w:t>
      </w:r>
      <w:r w:rsidR="00E15F24">
        <w:rPr>
          <w:lang w:val="de-DE"/>
        </w:rPr>
        <w:t>„Forschung &amp; Entwicklung“ des Offenlegungsberichts behandelt.</w:t>
      </w:r>
      <w:r w:rsidR="00DA2DEB">
        <w:rPr>
          <w:lang w:val="de-DE"/>
        </w:rPr>
        <w:t xml:space="preserve"> Zahlungen an CROs für CRO-spezifische Leistungen sind nicht Bestandteil des Berichts und werden nicht offengelegt. Eine Ausnahme gilt nur dann, </w:t>
      </w:r>
    </w:p>
    <w:p w14:paraId="0147FCB1" w14:textId="77777777" w:rsidR="00837AED" w:rsidRDefault="00DA2DEB" w:rsidP="00837AED">
      <w:pPr>
        <w:pStyle w:val="ListParagraph"/>
        <w:numPr>
          <w:ilvl w:val="0"/>
          <w:numId w:val="55"/>
        </w:numPr>
        <w:jc w:val="both"/>
        <w:rPr>
          <w:lang w:val="de-DE"/>
        </w:rPr>
      </w:pPr>
      <w:r w:rsidRPr="00DA2DEB">
        <w:rPr>
          <w:lang w:val="de-DE"/>
        </w:rPr>
        <w:t xml:space="preserve">wenn die CRO sich aus </w:t>
      </w:r>
      <w:r w:rsidR="009C204E">
        <w:rPr>
          <w:lang w:val="de-DE"/>
        </w:rPr>
        <w:t>Fachkreisangehörige</w:t>
      </w:r>
      <w:r w:rsidRPr="00DA2DEB">
        <w:rPr>
          <w:lang w:val="de-DE"/>
        </w:rPr>
        <w:t>n zusammensetzt oder mit einer medizinischen Institution (etwa einer Universitätsklinik oder einer staatlichen Institution) verbunden ist. In diese</w:t>
      </w:r>
      <w:r w:rsidRPr="003C32D2">
        <w:rPr>
          <w:lang w:val="de-DE"/>
        </w:rPr>
        <w:t>m Fall</w:t>
      </w:r>
      <w:r w:rsidRPr="00DA2DEB">
        <w:rPr>
          <w:lang w:val="de-DE"/>
        </w:rPr>
        <w:t xml:space="preserve"> gilt sie als Organisation und Wertübertragungen werden von uns nach den allgemeinen Regeln individualisiert veröffentlicht.</w:t>
      </w:r>
    </w:p>
    <w:p w14:paraId="7624BB60" w14:textId="6E1FDA1C" w:rsidR="00DA2DEB" w:rsidRPr="00837AED" w:rsidRDefault="00DA2DEB" w:rsidP="00837AED">
      <w:pPr>
        <w:pStyle w:val="ListParagraph"/>
        <w:numPr>
          <w:ilvl w:val="0"/>
          <w:numId w:val="55"/>
        </w:numPr>
        <w:jc w:val="both"/>
        <w:rPr>
          <w:lang w:val="de-DE"/>
        </w:rPr>
      </w:pPr>
      <w:r w:rsidRPr="00837AED">
        <w:rPr>
          <w:lang w:val="de-DE"/>
        </w:rPr>
        <w:t xml:space="preserve">wenn durch die CRO mittelbar Wertübertragungen an </w:t>
      </w:r>
      <w:r w:rsidR="009C204E" w:rsidRPr="00837AED">
        <w:rPr>
          <w:lang w:val="de-DE"/>
        </w:rPr>
        <w:t>Fachkreisangehörige</w:t>
      </w:r>
      <w:r w:rsidRPr="00837AED">
        <w:rPr>
          <w:lang w:val="de-DE"/>
        </w:rPr>
        <w:t xml:space="preserve"> erbracht werden (sog. „pass-through costs“). In diesem Fall werden die geldwerten </w:t>
      </w:r>
      <w:r w:rsidR="006619B0">
        <w:rPr>
          <w:lang w:val="de-DE"/>
        </w:rPr>
        <w:t>Leistungen</w:t>
      </w:r>
      <w:r w:rsidRPr="00837AED">
        <w:rPr>
          <w:lang w:val="de-DE"/>
        </w:rPr>
        <w:t xml:space="preserve"> von uns in</w:t>
      </w:r>
      <w:r w:rsidR="009C204E" w:rsidRPr="00837AED">
        <w:rPr>
          <w:lang w:val="de-DE"/>
        </w:rPr>
        <w:t>dividualisiert unter Nennung</w:t>
      </w:r>
      <w:r w:rsidRPr="00837AED">
        <w:rPr>
          <w:lang w:val="de-DE"/>
        </w:rPr>
        <w:t xml:space="preserve"> des jeweiligen </w:t>
      </w:r>
      <w:r w:rsidR="009C204E" w:rsidRPr="00837AED">
        <w:rPr>
          <w:lang w:val="de-DE"/>
        </w:rPr>
        <w:t>Fachkreisangehörigen</w:t>
      </w:r>
      <w:r w:rsidRPr="00837AED">
        <w:rPr>
          <w:lang w:val="de-DE"/>
        </w:rPr>
        <w:t xml:space="preserve"> veröffentlicht.  </w:t>
      </w:r>
    </w:p>
    <w:p w14:paraId="68340233" w14:textId="42FC7076" w:rsidR="006A678A" w:rsidRPr="000935D7" w:rsidRDefault="000935D7" w:rsidP="002B57FC">
      <w:pPr>
        <w:jc w:val="both"/>
        <w:rPr>
          <w:lang w:val="de-DE"/>
        </w:rPr>
      </w:pPr>
      <w:r w:rsidRPr="00932C92">
        <w:rPr>
          <w:color w:val="000000"/>
          <w:lang w:val="de-DE"/>
        </w:rPr>
        <w:t>Wertübertragungen im Rahmen von Forschungs- und Entwicklungstätigkeiten</w:t>
      </w:r>
      <w:r>
        <w:rPr>
          <w:color w:val="000000"/>
          <w:lang w:val="de-DE"/>
        </w:rPr>
        <w:t xml:space="preserve"> werden in Form einer Gesamtsumme angegeben, wobei hiervon Wertübertragungsvorgänge in Verbindung mit retrospektiven nicht-interventionellen Studien ausgenommen sind, denn diese unterliegen den Bestimmungen des</w:t>
      </w:r>
      <w:r w:rsidR="004F6CE0">
        <w:rPr>
          <w:color w:val="000000"/>
          <w:lang w:val="de-DE"/>
        </w:rPr>
        <w:t xml:space="preserve"> Artikels 15 des </w:t>
      </w:r>
      <w:r w:rsidRPr="0060337B">
        <w:rPr>
          <w:color w:val="000000"/>
          <w:lang w:val="de-DE"/>
        </w:rPr>
        <w:t>EFPIA HCP</w:t>
      </w:r>
      <w:r>
        <w:rPr>
          <w:color w:val="000000"/>
          <w:lang w:val="de-DE"/>
        </w:rPr>
        <w:t>-</w:t>
      </w:r>
      <w:r w:rsidRPr="0060337B">
        <w:rPr>
          <w:color w:val="000000"/>
          <w:lang w:val="de-DE"/>
        </w:rPr>
        <w:t>Code</w:t>
      </w:r>
      <w:r>
        <w:rPr>
          <w:color w:val="000000"/>
          <w:lang w:val="de-DE"/>
        </w:rPr>
        <w:t>s und werden unter dem Namen des einzelnen Empfängers bekanntgegeben.</w:t>
      </w:r>
    </w:p>
    <w:p w14:paraId="33371C64" w14:textId="5F557721" w:rsidR="00067B68" w:rsidRPr="00724A0F" w:rsidRDefault="00223890" w:rsidP="00F9125E">
      <w:pPr>
        <w:pStyle w:val="Heading2"/>
        <w:numPr>
          <w:ilvl w:val="1"/>
          <w:numId w:val="45"/>
        </w:numPr>
        <w:ind w:left="567" w:hanging="567"/>
        <w:jc w:val="both"/>
        <w:rPr>
          <w:rFonts w:asciiTheme="minorHAnsi" w:hAnsiTheme="minorHAnsi"/>
        </w:rPr>
      </w:pPr>
      <w:bookmarkStart w:id="41" w:name="_Toc311393073"/>
      <w:bookmarkStart w:id="42" w:name="_Toc313555998"/>
      <w:bookmarkStart w:id="43" w:name="_Toc453080760"/>
      <w:r>
        <w:rPr>
          <w:rFonts w:asciiTheme="minorHAnsi" w:hAnsiTheme="minorHAnsi"/>
        </w:rPr>
        <w:t>Wertübertragung</w:t>
      </w:r>
      <w:r w:rsidRPr="006004DD">
        <w:rPr>
          <w:rFonts w:asciiTheme="minorHAnsi" w:hAnsiTheme="minorHAnsi"/>
          <w:lang w:val="de-DE"/>
        </w:rPr>
        <w:t xml:space="preserve"> bei grenzüberschreitenden Tätigkeiten</w:t>
      </w:r>
      <w:bookmarkEnd w:id="41"/>
      <w:bookmarkEnd w:id="42"/>
      <w:bookmarkEnd w:id="43"/>
    </w:p>
    <w:p w14:paraId="13D7B1E6" w14:textId="7E4A3E70" w:rsidR="00F237FA" w:rsidRPr="00E439CA" w:rsidRDefault="00E439CA" w:rsidP="004525A3">
      <w:pPr>
        <w:jc w:val="both"/>
        <w:rPr>
          <w:lang w:val="de-DE"/>
        </w:rPr>
      </w:pPr>
      <w:r w:rsidRPr="00E439CA">
        <w:rPr>
          <w:lang w:val="de-DE"/>
        </w:rPr>
        <w:t>Wertübertragungen im Zusammenhang mit grenzüberschreitenden Tätigkeiten werden ebenfalls in unserem Offenlegungsbericht aufgeführ</w:t>
      </w:r>
      <w:r>
        <w:rPr>
          <w:lang w:val="de-DE"/>
        </w:rPr>
        <w:t xml:space="preserve">t. Die betreffenden grenzüberschreitenden Tätigkeiten werden in dem Land veröffentlicht, in welchem der als Empfänger geltende </w:t>
      </w:r>
      <w:r w:rsidR="009C204E">
        <w:rPr>
          <w:lang w:val="de-DE"/>
        </w:rPr>
        <w:t>Fachkreisangehörige</w:t>
      </w:r>
      <w:r>
        <w:rPr>
          <w:lang w:val="de-DE"/>
        </w:rPr>
        <w:t xml:space="preserve"> seinen Hauptdienstsitz hat.</w:t>
      </w:r>
    </w:p>
    <w:p w14:paraId="21E27C8C" w14:textId="6837FCF9" w:rsidR="006B6231" w:rsidRPr="00E439CA" w:rsidRDefault="00E439CA" w:rsidP="00837AED">
      <w:pPr>
        <w:jc w:val="both"/>
        <w:rPr>
          <w:lang w:val="de-DE"/>
        </w:rPr>
      </w:pPr>
      <w:r w:rsidRPr="00E439CA">
        <w:rPr>
          <w:lang w:val="de-DE"/>
        </w:rPr>
        <w:t xml:space="preserve">Wenn also beispielsweise </w:t>
      </w:r>
      <w:r w:rsidRPr="009C204E">
        <w:rPr>
          <w:lang w:val="de-DE"/>
        </w:rPr>
        <w:t>ein  deutscher</w:t>
      </w:r>
      <w:r>
        <w:rPr>
          <w:lang w:val="de-DE"/>
        </w:rPr>
        <w:t xml:space="preserve"> </w:t>
      </w:r>
      <w:r w:rsidR="00995A03">
        <w:rPr>
          <w:lang w:val="de-DE"/>
        </w:rPr>
        <w:t>Fachkreisangehöriger</w:t>
      </w:r>
      <w:r>
        <w:rPr>
          <w:lang w:val="de-DE"/>
        </w:rPr>
        <w:t xml:space="preserve"> von einer ausländischen als eigenständige Rechtsperson geltende</w:t>
      </w:r>
      <w:r w:rsidR="00283FCA">
        <w:rPr>
          <w:lang w:val="de-DE"/>
        </w:rPr>
        <w:t>n</w:t>
      </w:r>
      <w:r>
        <w:rPr>
          <w:lang w:val="de-DE"/>
        </w:rPr>
        <w:t xml:space="preserve"> Niederlassung von Takeda als Berater beauftragt wird, so </w:t>
      </w:r>
      <w:r w:rsidR="00E20932">
        <w:rPr>
          <w:lang w:val="de-DE"/>
        </w:rPr>
        <w:t xml:space="preserve">veröffentlicht Takeda die betreffende(n) Wertübertragung(en) im Offenlegungsbericht für </w:t>
      </w:r>
      <w:r w:rsidR="0038287C">
        <w:rPr>
          <w:lang w:val="de-DE"/>
        </w:rPr>
        <w:t>Deutschland</w:t>
      </w:r>
      <w:r w:rsidR="00E20932">
        <w:rPr>
          <w:lang w:val="de-DE"/>
        </w:rPr>
        <w:t xml:space="preserve">, und zwar entsprechend dem Hauptdienstsitz des jeweiligen </w:t>
      </w:r>
      <w:r w:rsidR="009C204E">
        <w:rPr>
          <w:lang w:val="de-DE"/>
        </w:rPr>
        <w:t>Fachkreisangehörigen</w:t>
      </w:r>
      <w:r w:rsidR="00E20932">
        <w:rPr>
          <w:lang w:val="de-DE"/>
        </w:rPr>
        <w:t>.</w:t>
      </w:r>
      <w:r w:rsidRPr="00E439CA">
        <w:rPr>
          <w:lang w:val="de-DE"/>
        </w:rPr>
        <w:t xml:space="preserve"> </w:t>
      </w:r>
      <w:r w:rsidR="00E4063F" w:rsidRPr="00E439CA">
        <w:rPr>
          <w:lang w:val="de-DE"/>
        </w:rPr>
        <w:t xml:space="preserve">  </w:t>
      </w:r>
    </w:p>
    <w:p w14:paraId="773671E5" w14:textId="77777777" w:rsidR="005E249B" w:rsidRPr="00E439CA" w:rsidRDefault="005E249B" w:rsidP="00C0602C">
      <w:pPr>
        <w:pStyle w:val="Heading1"/>
        <w:spacing w:before="0"/>
        <w:jc w:val="both"/>
        <w:rPr>
          <w:lang w:val="de-DE"/>
        </w:rPr>
      </w:pPr>
      <w:bookmarkStart w:id="44" w:name="_Toc310773575"/>
    </w:p>
    <w:p w14:paraId="4CE4FEBB" w14:textId="66600079" w:rsidR="005A07F0" w:rsidRPr="006619B0" w:rsidRDefault="002D5282" w:rsidP="00286618">
      <w:pPr>
        <w:pStyle w:val="Heading1"/>
        <w:numPr>
          <w:ilvl w:val="0"/>
          <w:numId w:val="5"/>
        </w:numPr>
        <w:spacing w:before="0"/>
        <w:jc w:val="both"/>
        <w:rPr>
          <w:rFonts w:asciiTheme="minorHAnsi" w:hAnsiTheme="minorHAnsi"/>
          <w:lang w:val="de-DE"/>
        </w:rPr>
      </w:pPr>
      <w:bookmarkStart w:id="45" w:name="_Toc453080761"/>
      <w:bookmarkStart w:id="46" w:name="_Toc311393076"/>
      <w:bookmarkStart w:id="47" w:name="_Toc313556001"/>
      <w:r w:rsidRPr="006619B0">
        <w:rPr>
          <w:rFonts w:asciiTheme="minorHAnsi" w:hAnsiTheme="minorHAnsi"/>
          <w:lang w:val="de-DE"/>
        </w:rPr>
        <w:t>Datenschutzrechtliche Zustimmung zur Offenlegung und Gesamtbetrag</w:t>
      </w:r>
      <w:bookmarkEnd w:id="45"/>
    </w:p>
    <w:p w14:paraId="05C2E29A" w14:textId="12EB1DF3" w:rsidR="00910DA1" w:rsidRPr="009C204E" w:rsidRDefault="002D5282" w:rsidP="00837AED">
      <w:pPr>
        <w:jc w:val="both"/>
        <w:rPr>
          <w:lang w:val="de-DE"/>
        </w:rPr>
      </w:pPr>
      <w:r w:rsidRPr="009C204E">
        <w:rPr>
          <w:lang w:val="de-DE"/>
        </w:rPr>
        <w:t xml:space="preserve">Die auf </w:t>
      </w:r>
      <w:r w:rsidR="009C204E" w:rsidRPr="009C204E">
        <w:rPr>
          <w:lang w:val="de-DE"/>
        </w:rPr>
        <w:t>Fachkreisangehörige</w:t>
      </w:r>
      <w:r w:rsidRPr="009C204E">
        <w:rPr>
          <w:lang w:val="de-DE"/>
        </w:rPr>
        <w:t xml:space="preserve"> bezogene </w:t>
      </w:r>
      <w:r w:rsidR="004027A9" w:rsidRPr="009C204E">
        <w:rPr>
          <w:lang w:val="de-DE"/>
        </w:rPr>
        <w:t xml:space="preserve">individuelle </w:t>
      </w:r>
      <w:r w:rsidRPr="009C204E">
        <w:rPr>
          <w:lang w:val="de-DE"/>
        </w:rPr>
        <w:t>Offenlegung von an diese</w:t>
      </w:r>
      <w:r w:rsidR="0038287C" w:rsidRPr="009C204E">
        <w:rPr>
          <w:lang w:val="de-DE"/>
        </w:rPr>
        <w:t>n</w:t>
      </w:r>
      <w:r w:rsidRPr="009C204E">
        <w:rPr>
          <w:lang w:val="de-DE"/>
        </w:rPr>
        <w:t xml:space="preserve"> </w:t>
      </w:r>
      <w:r w:rsidR="0038287C" w:rsidRPr="009C204E">
        <w:rPr>
          <w:lang w:val="de-DE"/>
        </w:rPr>
        <w:t>Personenkreis</w:t>
      </w:r>
      <w:r w:rsidRPr="009C204E">
        <w:rPr>
          <w:lang w:val="de-DE"/>
        </w:rPr>
        <w:t xml:space="preserve"> entri</w:t>
      </w:r>
      <w:r w:rsidR="004027A9" w:rsidRPr="009C204E">
        <w:rPr>
          <w:lang w:val="de-DE"/>
        </w:rPr>
        <w:t>chteten Wertübertragungen wird</w:t>
      </w:r>
      <w:r w:rsidRPr="009C204E">
        <w:rPr>
          <w:lang w:val="de-DE"/>
        </w:rPr>
        <w:t xml:space="preserve"> durch die lokal </w:t>
      </w:r>
      <w:r w:rsidR="00896B94" w:rsidRPr="009C204E">
        <w:rPr>
          <w:lang w:val="de-DE"/>
        </w:rPr>
        <w:t>geltenden Datenschutzbestimmungen geregelt</w:t>
      </w:r>
      <w:r w:rsidR="00910DA1" w:rsidRPr="009C204E">
        <w:rPr>
          <w:lang w:val="de-DE"/>
        </w:rPr>
        <w:t xml:space="preserve">. </w:t>
      </w:r>
    </w:p>
    <w:p w14:paraId="7224DFF3" w14:textId="5097D39E" w:rsidR="00910DA1" w:rsidRPr="00F73EC4" w:rsidRDefault="00F73EC4" w:rsidP="00837AED">
      <w:pPr>
        <w:jc w:val="both"/>
        <w:rPr>
          <w:lang w:val="de-DE"/>
        </w:rPr>
      </w:pPr>
      <w:r w:rsidRPr="00F73EC4">
        <w:rPr>
          <w:lang w:val="de-DE"/>
        </w:rPr>
        <w:t xml:space="preserve">In </w:t>
      </w:r>
      <w:r w:rsidR="0038287C">
        <w:rPr>
          <w:lang w:val="de-DE"/>
        </w:rPr>
        <w:t>Deutschland</w:t>
      </w:r>
      <w:r w:rsidRPr="00F73EC4">
        <w:rPr>
          <w:lang w:val="de-DE"/>
        </w:rPr>
        <w:t xml:space="preserve"> sollte der betreffende </w:t>
      </w:r>
      <w:r w:rsidR="009C204E">
        <w:rPr>
          <w:lang w:val="de-DE"/>
        </w:rPr>
        <w:t>Fachkreisangehörige</w:t>
      </w:r>
      <w:r w:rsidRPr="00F73EC4">
        <w:rPr>
          <w:lang w:val="de-DE"/>
        </w:rPr>
        <w:t xml:space="preserve"> seine datenschutzrechtliche Zustimmung </w:t>
      </w:r>
      <w:r w:rsidR="004027A9">
        <w:rPr>
          <w:lang w:val="de-DE"/>
        </w:rPr>
        <w:t xml:space="preserve">zur Veröffentlichung der erhaltenen Wertübertragungen auf individueller Ebene </w:t>
      </w:r>
      <w:r w:rsidRPr="00F73EC4">
        <w:rPr>
          <w:lang w:val="de-DE"/>
        </w:rPr>
        <w:t>erteilen</w:t>
      </w:r>
      <w:r w:rsidR="004027A9">
        <w:rPr>
          <w:lang w:val="de-DE"/>
        </w:rPr>
        <w:t>. Wird eine solche individuelle datenschutzrechtliche Einwilligung nicht erteilt, so veröffentlicht Takeda die betreffende Wertübertragung in Form eines Gesamtbetrags</w:t>
      </w:r>
      <w:r w:rsidRPr="00F73EC4">
        <w:rPr>
          <w:lang w:val="de-DE"/>
        </w:rPr>
        <w:t xml:space="preserve">, </w:t>
      </w:r>
      <w:r w:rsidR="004027A9">
        <w:rPr>
          <w:lang w:val="de-DE"/>
        </w:rPr>
        <w:t xml:space="preserve">der sämtliche </w:t>
      </w:r>
      <w:r w:rsidR="009C204E">
        <w:rPr>
          <w:lang w:val="de-DE"/>
        </w:rPr>
        <w:t>Fachkreisangehörige</w:t>
      </w:r>
      <w:r w:rsidR="004027A9">
        <w:rPr>
          <w:lang w:val="de-DE"/>
        </w:rPr>
        <w:t xml:space="preserve"> berücksichtigt, die keine </w:t>
      </w:r>
      <w:r w:rsidR="007458E3">
        <w:rPr>
          <w:lang w:val="de-DE"/>
        </w:rPr>
        <w:t xml:space="preserve">solche </w:t>
      </w:r>
      <w:r w:rsidR="004027A9">
        <w:rPr>
          <w:lang w:val="de-DE"/>
        </w:rPr>
        <w:t>datenschutzrechtliche Einwilligung erteilt haben.</w:t>
      </w:r>
    </w:p>
    <w:p w14:paraId="4651371E" w14:textId="77991C22" w:rsidR="005A07F0" w:rsidRPr="0019615B" w:rsidRDefault="004027A9" w:rsidP="007117E8">
      <w:pPr>
        <w:jc w:val="both"/>
        <w:rPr>
          <w:lang w:val="de-DE"/>
        </w:rPr>
      </w:pPr>
      <w:r w:rsidRPr="004027A9">
        <w:rPr>
          <w:lang w:val="de-DE"/>
        </w:rPr>
        <w:t xml:space="preserve">In Bezug auf die in Verbindung mit </w:t>
      </w:r>
      <w:r w:rsidR="009C204E">
        <w:rPr>
          <w:lang w:val="de-DE"/>
        </w:rPr>
        <w:t>Fachkreisangehörige</w:t>
      </w:r>
      <w:r w:rsidRPr="004027A9">
        <w:rPr>
          <w:lang w:val="de-DE"/>
        </w:rPr>
        <w:t>n vorgenommene individuelle</w:t>
      </w:r>
      <w:r>
        <w:rPr>
          <w:lang w:val="de-DE"/>
        </w:rPr>
        <w:t xml:space="preserve"> Offenlegung von Vorgängen hat das Unternehmen Takeda entschieden, </w:t>
      </w:r>
      <w:r w:rsidR="0019615B">
        <w:rPr>
          <w:lang w:val="de-DE"/>
        </w:rPr>
        <w:t>für jeden einzelnen Wertübertragungsvorgang eine datenschutzrechtliche Zustimmung einzuholen, mit welcher der jeweil</w:t>
      </w:r>
      <w:r w:rsidR="00D640BA">
        <w:rPr>
          <w:lang w:val="de-DE"/>
        </w:rPr>
        <w:t>i</w:t>
      </w:r>
      <w:r w:rsidR="0019615B">
        <w:rPr>
          <w:lang w:val="de-DE"/>
        </w:rPr>
        <w:t xml:space="preserve">ge </w:t>
      </w:r>
      <w:r w:rsidR="009C204E">
        <w:rPr>
          <w:lang w:val="de-DE"/>
        </w:rPr>
        <w:t>Fachkreisangehörige</w:t>
      </w:r>
      <w:r w:rsidR="0019615B">
        <w:rPr>
          <w:lang w:val="de-DE"/>
        </w:rPr>
        <w:t xml:space="preserve">  dann einer individuellen Offenlegung der betreffenden Wertübertragungen zustimmt. </w:t>
      </w:r>
      <w:r w:rsidR="0019615B" w:rsidRPr="0019615B">
        <w:rPr>
          <w:lang w:val="de-DE"/>
        </w:rPr>
        <w:t xml:space="preserve">Sollte der </w:t>
      </w:r>
      <w:r w:rsidR="009C204E">
        <w:rPr>
          <w:lang w:val="de-DE"/>
        </w:rPr>
        <w:t>Fachkreisangehörige</w:t>
      </w:r>
      <w:r w:rsidR="0019615B" w:rsidRPr="0019615B">
        <w:rPr>
          <w:lang w:val="de-DE"/>
        </w:rPr>
        <w:t xml:space="preserve"> für mindestens einen Wertübertragungsvorgang seine/ihre Zustimmung verweigern, so werden sämtliche in Verbindung mit diesem </w:t>
      </w:r>
      <w:r w:rsidR="009C204E">
        <w:rPr>
          <w:lang w:val="de-DE"/>
        </w:rPr>
        <w:t>Fachkreisangehörigen</w:t>
      </w:r>
      <w:r w:rsidR="0019615B" w:rsidRPr="0019615B">
        <w:rPr>
          <w:lang w:val="de-DE"/>
        </w:rPr>
        <w:t xml:space="preserve"> erfolgten Wertübertragungen </w:t>
      </w:r>
      <w:r w:rsidR="0019615B">
        <w:rPr>
          <w:lang w:val="de-DE"/>
        </w:rPr>
        <w:t>in Form einer Gesamtsumme</w:t>
      </w:r>
      <w:r w:rsidR="000A297B">
        <w:rPr>
          <w:lang w:val="de-DE"/>
        </w:rPr>
        <w:t xml:space="preserve"> und über alle Personen dieser Gruppe aggregiert</w:t>
      </w:r>
      <w:r w:rsidR="0019615B">
        <w:rPr>
          <w:lang w:val="de-DE"/>
        </w:rPr>
        <w:t xml:space="preserve"> </w:t>
      </w:r>
      <w:r w:rsidR="00837AED">
        <w:rPr>
          <w:lang w:val="de-DE"/>
        </w:rPr>
        <w:t xml:space="preserve">und anonymisiert </w:t>
      </w:r>
      <w:r w:rsidR="0019615B">
        <w:rPr>
          <w:lang w:val="de-DE"/>
        </w:rPr>
        <w:t>offengelegt.</w:t>
      </w:r>
      <w:r w:rsidR="0019615B" w:rsidRPr="0019615B">
        <w:rPr>
          <w:lang w:val="de-DE"/>
        </w:rPr>
        <w:t xml:space="preserve"> </w:t>
      </w:r>
      <w:r w:rsidRPr="0019615B">
        <w:rPr>
          <w:lang w:val="de-DE"/>
        </w:rPr>
        <w:t xml:space="preserve">  </w:t>
      </w:r>
    </w:p>
    <w:p w14:paraId="34BC48F3" w14:textId="46F0DC22" w:rsidR="005A07F0" w:rsidRPr="0019615B" w:rsidRDefault="0019615B" w:rsidP="005A07F0">
      <w:pPr>
        <w:jc w:val="both"/>
        <w:rPr>
          <w:lang w:val="de-DE"/>
        </w:rPr>
      </w:pPr>
      <w:r w:rsidRPr="0019615B">
        <w:rPr>
          <w:lang w:val="de-DE"/>
        </w:rPr>
        <w:t xml:space="preserve">Wird ein </w:t>
      </w:r>
      <w:r w:rsidR="009C204E">
        <w:rPr>
          <w:lang w:val="de-DE"/>
        </w:rPr>
        <w:t>Fachkreisangehöriger</w:t>
      </w:r>
      <w:r w:rsidRPr="0019615B">
        <w:rPr>
          <w:lang w:val="de-DE"/>
        </w:rPr>
        <w:t xml:space="preserve"> be</w:t>
      </w:r>
      <w:r w:rsidR="00D640BA">
        <w:rPr>
          <w:lang w:val="de-DE"/>
        </w:rPr>
        <w:t>i</w:t>
      </w:r>
      <w:r w:rsidRPr="0019615B">
        <w:rPr>
          <w:lang w:val="de-DE"/>
        </w:rPr>
        <w:t xml:space="preserve">spielsweise </w:t>
      </w:r>
      <w:r w:rsidR="009968B2">
        <w:rPr>
          <w:lang w:val="de-DE"/>
        </w:rPr>
        <w:t xml:space="preserve">über das gesamte </w:t>
      </w:r>
      <w:r w:rsidRPr="0019615B">
        <w:rPr>
          <w:lang w:val="de-DE"/>
        </w:rPr>
        <w:t xml:space="preserve">Jahr für </w:t>
      </w:r>
      <w:r w:rsidR="0038287C">
        <w:rPr>
          <w:lang w:val="de-DE"/>
        </w:rPr>
        <w:t>fünf</w:t>
      </w:r>
      <w:r w:rsidRPr="0019615B">
        <w:rPr>
          <w:lang w:val="de-DE"/>
        </w:rPr>
        <w:t xml:space="preserve"> einzelne Tätigkeiten beauftragt und erteilt er seine Zustimmung zur Offenlegung für die ersten vier Tätigkeiten, verweigert seine Einwilligung jedoch für die letzte, so werden alle betreffenden Wertübertragungsvorgänge </w:t>
      </w:r>
      <w:r w:rsidR="00E61C8E">
        <w:rPr>
          <w:lang w:val="de-DE"/>
        </w:rPr>
        <w:t xml:space="preserve">im Abschnitt </w:t>
      </w:r>
      <w:r w:rsidR="009968B2">
        <w:rPr>
          <w:lang w:val="de-DE"/>
        </w:rPr>
        <w:t xml:space="preserve">mit </w:t>
      </w:r>
      <w:r w:rsidR="00E61C8E">
        <w:rPr>
          <w:lang w:val="de-DE"/>
        </w:rPr>
        <w:t>de</w:t>
      </w:r>
      <w:r w:rsidR="009968B2">
        <w:rPr>
          <w:lang w:val="de-DE"/>
        </w:rPr>
        <w:t>n</w:t>
      </w:r>
      <w:r w:rsidR="00E61C8E">
        <w:rPr>
          <w:lang w:val="de-DE"/>
        </w:rPr>
        <w:t xml:space="preserve"> als Gesamtsumme aufgeführten Beträge</w:t>
      </w:r>
      <w:r w:rsidR="009968B2">
        <w:rPr>
          <w:lang w:val="de-DE"/>
        </w:rPr>
        <w:t>n</w:t>
      </w:r>
      <w:r w:rsidR="00E61C8E">
        <w:rPr>
          <w:lang w:val="de-DE"/>
        </w:rPr>
        <w:t xml:space="preserve"> </w:t>
      </w:r>
      <w:r w:rsidR="0038287C">
        <w:rPr>
          <w:lang w:val="de-DE"/>
        </w:rPr>
        <w:t xml:space="preserve">aggregiert und anonymisiert </w:t>
      </w:r>
      <w:r w:rsidR="009968B2">
        <w:rPr>
          <w:lang w:val="de-DE"/>
        </w:rPr>
        <w:t>ausgewiesen</w:t>
      </w:r>
      <w:r w:rsidR="00E61C8E">
        <w:rPr>
          <w:lang w:val="de-DE"/>
        </w:rPr>
        <w:t>.</w:t>
      </w:r>
    </w:p>
    <w:p w14:paraId="36475DF5" w14:textId="06FA9017" w:rsidR="005A07F0" w:rsidRPr="0087326C" w:rsidRDefault="00E61C8E" w:rsidP="005A07F0">
      <w:pPr>
        <w:jc w:val="both"/>
        <w:rPr>
          <w:lang w:val="de-DE"/>
        </w:rPr>
      </w:pPr>
      <w:r w:rsidRPr="00E61C8E">
        <w:rPr>
          <w:lang w:val="de-DE"/>
        </w:rPr>
        <w:t xml:space="preserve">Ein </w:t>
      </w:r>
      <w:r w:rsidR="009C204E">
        <w:rPr>
          <w:lang w:val="de-DE"/>
        </w:rPr>
        <w:t>Fachkreisangehöriger</w:t>
      </w:r>
      <w:r w:rsidR="00995A03">
        <w:rPr>
          <w:lang w:val="de-DE"/>
        </w:rPr>
        <w:t xml:space="preserve"> </w:t>
      </w:r>
      <w:r w:rsidRPr="00E61C8E">
        <w:rPr>
          <w:lang w:val="de-DE"/>
        </w:rPr>
        <w:t xml:space="preserve">kann jederzeit seine Einwilligung </w:t>
      </w:r>
      <w:r w:rsidR="009C204E">
        <w:rPr>
          <w:lang w:val="de-DE"/>
        </w:rPr>
        <w:t>w</w:t>
      </w:r>
      <w:r>
        <w:rPr>
          <w:lang w:val="de-DE"/>
        </w:rPr>
        <w:t xml:space="preserve">iderrufen. Erfolgt ein solcher Widerruf noch vor der offiziellen Offenlegung, </w:t>
      </w:r>
      <w:r w:rsidR="0087326C">
        <w:rPr>
          <w:lang w:val="de-DE"/>
        </w:rPr>
        <w:t xml:space="preserve">so werden sämtliche Wertübertragungen in Bezug auf diesen konkreten </w:t>
      </w:r>
      <w:r w:rsidR="009C204E">
        <w:rPr>
          <w:lang w:val="de-DE"/>
        </w:rPr>
        <w:t>Fachkreisangehörigen</w:t>
      </w:r>
      <w:r w:rsidR="0087326C">
        <w:rPr>
          <w:lang w:val="de-DE"/>
        </w:rPr>
        <w:t xml:space="preserve"> </w:t>
      </w:r>
      <w:r w:rsidR="00D640BA">
        <w:rPr>
          <w:lang w:val="de-DE"/>
        </w:rPr>
        <w:t xml:space="preserve">im Abschnitt </w:t>
      </w:r>
      <w:r w:rsidR="009968B2">
        <w:rPr>
          <w:lang w:val="de-DE"/>
        </w:rPr>
        <w:t xml:space="preserve">mit </w:t>
      </w:r>
      <w:r w:rsidR="00D640BA">
        <w:rPr>
          <w:lang w:val="de-DE"/>
        </w:rPr>
        <w:t>de</w:t>
      </w:r>
      <w:r w:rsidR="009968B2">
        <w:rPr>
          <w:lang w:val="de-DE"/>
        </w:rPr>
        <w:t>n</w:t>
      </w:r>
      <w:r w:rsidR="00D640BA">
        <w:rPr>
          <w:lang w:val="de-DE"/>
        </w:rPr>
        <w:t xml:space="preserve"> als Gesamtsumme aufgeführten Beträge</w:t>
      </w:r>
      <w:r w:rsidR="009968B2">
        <w:rPr>
          <w:lang w:val="de-DE"/>
        </w:rPr>
        <w:t>n</w:t>
      </w:r>
      <w:r w:rsidR="00D640BA">
        <w:rPr>
          <w:lang w:val="de-DE"/>
        </w:rPr>
        <w:t xml:space="preserve"> </w:t>
      </w:r>
      <w:r w:rsidR="003248AF">
        <w:rPr>
          <w:lang w:val="de-DE"/>
        </w:rPr>
        <w:t xml:space="preserve">aggregiert und anonymisiert </w:t>
      </w:r>
      <w:r w:rsidR="009968B2">
        <w:rPr>
          <w:lang w:val="de-DE"/>
        </w:rPr>
        <w:t>ausgewiesen</w:t>
      </w:r>
      <w:r w:rsidR="00D640BA">
        <w:rPr>
          <w:lang w:val="de-DE"/>
        </w:rPr>
        <w:t>.</w:t>
      </w:r>
    </w:p>
    <w:p w14:paraId="2869B41A" w14:textId="1A0ED60E" w:rsidR="00C81510" w:rsidRPr="00D640BA" w:rsidRDefault="00D640BA" w:rsidP="006C45F9">
      <w:pPr>
        <w:jc w:val="both"/>
        <w:rPr>
          <w:lang w:val="de-DE"/>
        </w:rPr>
      </w:pPr>
      <w:r w:rsidRPr="00D640BA">
        <w:rPr>
          <w:lang w:val="de-DE"/>
        </w:rPr>
        <w:t>Takeda hat sich unter Einhaltung der lo</w:t>
      </w:r>
      <w:r w:rsidR="00BB2304">
        <w:rPr>
          <w:lang w:val="de-DE"/>
        </w:rPr>
        <w:t>k</w:t>
      </w:r>
      <w:r w:rsidRPr="00D640BA">
        <w:rPr>
          <w:lang w:val="de-DE"/>
        </w:rPr>
        <w:t xml:space="preserve">al geltenden Datenschutzgesetze nach besten Kräften um die Einholung der </w:t>
      </w:r>
      <w:r w:rsidR="00BB2304">
        <w:rPr>
          <w:lang w:val="de-DE"/>
        </w:rPr>
        <w:t>erforderlichen Einverständniserklärungen zur Offenlegung der Wertübertragungen auf individueller Ebene bemüht und führt entsprechende Nachweise über die Anfrage nach Erteilung einer datenrechtlichen Zustimmung</w:t>
      </w:r>
      <w:r w:rsidR="003248AF">
        <w:rPr>
          <w:lang w:val="de-DE"/>
        </w:rPr>
        <w:t xml:space="preserve">, </w:t>
      </w:r>
      <w:r w:rsidR="00BB2304">
        <w:rPr>
          <w:lang w:val="de-DE"/>
        </w:rPr>
        <w:t xml:space="preserve">über den Erhalt einer solchen </w:t>
      </w:r>
      <w:r w:rsidR="009968B2">
        <w:rPr>
          <w:lang w:val="de-DE"/>
        </w:rPr>
        <w:t xml:space="preserve">datenschutzrechtlichen </w:t>
      </w:r>
      <w:r w:rsidR="00BB2304">
        <w:rPr>
          <w:lang w:val="de-DE"/>
        </w:rPr>
        <w:t>Zustimmung</w:t>
      </w:r>
      <w:r w:rsidR="003248AF">
        <w:rPr>
          <w:lang w:val="de-DE"/>
        </w:rPr>
        <w:t xml:space="preserve">, sowie </w:t>
      </w:r>
      <w:r w:rsidR="00BB2304">
        <w:rPr>
          <w:lang w:val="de-DE"/>
        </w:rPr>
        <w:t>über die Verweigerung der Erteilung einer solchen daten</w:t>
      </w:r>
      <w:r w:rsidR="003248AF">
        <w:rPr>
          <w:lang w:val="de-DE"/>
        </w:rPr>
        <w:t>schutz</w:t>
      </w:r>
      <w:r w:rsidR="00BB2304">
        <w:rPr>
          <w:lang w:val="de-DE"/>
        </w:rPr>
        <w:t xml:space="preserve">rechtlichen Zustimmung. </w:t>
      </w:r>
    </w:p>
    <w:p w14:paraId="563F78A6" w14:textId="2EF250C0" w:rsidR="00C81510" w:rsidRPr="00D640BA" w:rsidRDefault="00C81510">
      <w:pPr>
        <w:rPr>
          <w:lang w:val="de-DE"/>
        </w:rPr>
      </w:pPr>
    </w:p>
    <w:p w14:paraId="1D405703" w14:textId="2215A4D1" w:rsidR="007A2B36" w:rsidRPr="006619B0" w:rsidRDefault="00C81510" w:rsidP="00B92BAC">
      <w:pPr>
        <w:rPr>
          <w:rFonts w:eastAsiaTheme="majorEastAsia" w:cstheme="majorBidi"/>
          <w:b/>
          <w:bCs/>
          <w:color w:val="365F91" w:themeColor="accent1" w:themeShade="BF"/>
          <w:sz w:val="28"/>
          <w:szCs w:val="28"/>
          <w:lang w:val="de-DE"/>
        </w:rPr>
      </w:pPr>
      <w:r w:rsidRPr="006619B0">
        <w:rPr>
          <w:rFonts w:eastAsiaTheme="majorEastAsia" w:cstheme="majorBidi"/>
          <w:b/>
          <w:bCs/>
          <w:color w:val="365F91" w:themeColor="accent1" w:themeShade="BF"/>
          <w:sz w:val="28"/>
          <w:szCs w:val="28"/>
          <w:lang w:val="de-DE"/>
        </w:rPr>
        <w:t xml:space="preserve">4. </w:t>
      </w:r>
      <w:r w:rsidR="00BB2304" w:rsidRPr="006619B0">
        <w:rPr>
          <w:rFonts w:eastAsiaTheme="majorEastAsia" w:cstheme="majorBidi"/>
          <w:b/>
          <w:bCs/>
          <w:color w:val="365F91" w:themeColor="accent1" w:themeShade="BF"/>
          <w:sz w:val="28"/>
          <w:szCs w:val="28"/>
          <w:lang w:val="de-DE"/>
        </w:rPr>
        <w:t>Arbeitshypothesen</w:t>
      </w:r>
    </w:p>
    <w:p w14:paraId="4E35D027" w14:textId="5AEE52B4" w:rsidR="008363CD" w:rsidRPr="009968B2" w:rsidRDefault="00545024" w:rsidP="00495605">
      <w:pPr>
        <w:pStyle w:val="Heading1"/>
        <w:spacing w:before="0"/>
        <w:jc w:val="both"/>
        <w:rPr>
          <w:rFonts w:asciiTheme="minorHAnsi" w:hAnsiTheme="minorHAnsi"/>
          <w:color w:val="4F81BD" w:themeColor="accent1"/>
          <w:sz w:val="26"/>
          <w:szCs w:val="26"/>
          <w:lang w:val="de-DE"/>
        </w:rPr>
      </w:pPr>
      <w:bookmarkStart w:id="48" w:name="_Toc453080762"/>
      <w:r w:rsidRPr="009968B2">
        <w:rPr>
          <w:rFonts w:asciiTheme="minorHAnsi" w:hAnsiTheme="minorHAnsi"/>
          <w:color w:val="4F81BD" w:themeColor="accent1"/>
          <w:sz w:val="26"/>
          <w:szCs w:val="26"/>
          <w:lang w:val="de-DE"/>
        </w:rPr>
        <w:t xml:space="preserve">4.1 </w:t>
      </w:r>
      <w:r w:rsidR="00BC3190" w:rsidRPr="009968B2">
        <w:rPr>
          <w:rFonts w:asciiTheme="minorHAnsi" w:hAnsiTheme="minorHAnsi"/>
          <w:color w:val="4F81BD" w:themeColor="accent1"/>
          <w:sz w:val="26"/>
          <w:szCs w:val="26"/>
          <w:lang w:val="de-DE"/>
        </w:rPr>
        <w:t>Dat</w:t>
      </w:r>
      <w:r w:rsidR="00DC4A01" w:rsidRPr="009968B2">
        <w:rPr>
          <w:rFonts w:asciiTheme="minorHAnsi" w:hAnsiTheme="minorHAnsi"/>
          <w:color w:val="4F81BD" w:themeColor="accent1"/>
          <w:sz w:val="26"/>
          <w:szCs w:val="26"/>
          <w:lang w:val="de-DE"/>
        </w:rPr>
        <w:t>um der Wertübertragung</w:t>
      </w:r>
      <w:bookmarkEnd w:id="46"/>
      <w:bookmarkEnd w:id="47"/>
      <w:bookmarkEnd w:id="48"/>
    </w:p>
    <w:p w14:paraId="6DED0CBB" w14:textId="7BE5891C" w:rsidR="002E1229" w:rsidRPr="00DC4A01" w:rsidRDefault="00DC4A01" w:rsidP="00837AED">
      <w:pPr>
        <w:pStyle w:val="Heading4"/>
        <w:jc w:val="both"/>
        <w:rPr>
          <w:rFonts w:asciiTheme="minorHAnsi" w:eastAsiaTheme="minorEastAsia" w:hAnsiTheme="minorHAnsi" w:cstheme="minorBidi"/>
          <w:b w:val="0"/>
          <w:bCs w:val="0"/>
          <w:i w:val="0"/>
          <w:iCs w:val="0"/>
          <w:color w:val="auto"/>
          <w:lang w:val="de-DE"/>
        </w:rPr>
      </w:pPr>
      <w:r w:rsidRPr="00DC4A01">
        <w:rPr>
          <w:rFonts w:asciiTheme="minorHAnsi" w:eastAsiaTheme="minorEastAsia" w:hAnsiTheme="minorHAnsi" w:cstheme="minorBidi"/>
          <w:b w:val="0"/>
          <w:bCs w:val="0"/>
          <w:i w:val="0"/>
          <w:iCs w:val="0"/>
          <w:color w:val="auto"/>
          <w:lang w:val="de-DE"/>
        </w:rPr>
        <w:t>Innerhalb des Unternehme</w:t>
      </w:r>
      <w:r w:rsidR="009C204E">
        <w:rPr>
          <w:rFonts w:asciiTheme="minorHAnsi" w:eastAsiaTheme="minorEastAsia" w:hAnsiTheme="minorHAnsi" w:cstheme="minorBidi"/>
          <w:b w:val="0"/>
          <w:bCs w:val="0"/>
          <w:i w:val="0"/>
          <w:iCs w:val="0"/>
          <w:color w:val="auto"/>
          <w:lang w:val="de-DE"/>
        </w:rPr>
        <w:t>n</w:t>
      </w:r>
      <w:r w:rsidRPr="00DC4A01">
        <w:rPr>
          <w:rFonts w:asciiTheme="minorHAnsi" w:eastAsiaTheme="minorEastAsia" w:hAnsiTheme="minorHAnsi" w:cstheme="minorBidi"/>
          <w:b w:val="0"/>
          <w:bCs w:val="0"/>
          <w:i w:val="0"/>
          <w:iCs w:val="0"/>
          <w:color w:val="auto"/>
          <w:lang w:val="de-DE"/>
        </w:rPr>
        <w:t xml:space="preserve">s Takeda unterliegt jede Zusammenarbeit mit einer Gesundheitsorganisation bzw. </w:t>
      </w:r>
      <w:r>
        <w:rPr>
          <w:rFonts w:asciiTheme="minorHAnsi" w:eastAsiaTheme="minorEastAsia" w:hAnsiTheme="minorHAnsi" w:cstheme="minorBidi"/>
          <w:b w:val="0"/>
          <w:bCs w:val="0"/>
          <w:i w:val="0"/>
          <w:iCs w:val="0"/>
          <w:color w:val="auto"/>
          <w:lang w:val="de-DE"/>
        </w:rPr>
        <w:t xml:space="preserve">einem </w:t>
      </w:r>
      <w:r w:rsidR="009C204E">
        <w:rPr>
          <w:rFonts w:asciiTheme="minorHAnsi" w:eastAsiaTheme="minorEastAsia" w:hAnsiTheme="minorHAnsi" w:cstheme="minorBidi"/>
          <w:b w:val="0"/>
          <w:bCs w:val="0"/>
          <w:i w:val="0"/>
          <w:iCs w:val="0"/>
          <w:color w:val="auto"/>
          <w:lang w:val="de-DE"/>
        </w:rPr>
        <w:t>Fachkreisangehörigen</w:t>
      </w:r>
      <w:r>
        <w:rPr>
          <w:rFonts w:asciiTheme="minorHAnsi" w:eastAsiaTheme="minorEastAsia" w:hAnsiTheme="minorHAnsi" w:cstheme="minorBidi"/>
          <w:b w:val="0"/>
          <w:bCs w:val="0"/>
          <w:i w:val="0"/>
          <w:iCs w:val="0"/>
          <w:color w:val="auto"/>
          <w:lang w:val="de-DE"/>
        </w:rPr>
        <w:t xml:space="preserve"> einer strikten Bedarfsanalyse sowie einem internen Genehmigungsverfahren. </w:t>
      </w:r>
      <w:r w:rsidR="00995A03">
        <w:rPr>
          <w:rFonts w:asciiTheme="minorHAnsi" w:eastAsiaTheme="minorEastAsia" w:hAnsiTheme="minorHAnsi" w:cstheme="minorBidi"/>
          <w:b w:val="0"/>
          <w:bCs w:val="0"/>
          <w:i w:val="0"/>
          <w:iCs w:val="0"/>
          <w:color w:val="auto"/>
          <w:lang w:val="de-DE"/>
        </w:rPr>
        <w:t>Bei Genehmigungserteilung erfolgt seitens von Takeda die Auftragsvergabe, die die Wertübertragung und – sofern zutreffend – die Anfrage bezüglich der Erteilung der Zustimmung zur Offenlegung beinhaltet.</w:t>
      </w:r>
      <w:r w:rsidR="00561296">
        <w:rPr>
          <w:rFonts w:asciiTheme="minorHAnsi" w:eastAsiaTheme="minorEastAsia" w:hAnsiTheme="minorHAnsi" w:cstheme="minorBidi"/>
          <w:b w:val="0"/>
          <w:bCs w:val="0"/>
          <w:i w:val="0"/>
          <w:iCs w:val="0"/>
          <w:color w:val="auto"/>
          <w:lang w:val="de-DE"/>
        </w:rPr>
        <w:t xml:space="preserve"> Es erfolgt eine Nachverfolgung </w:t>
      </w:r>
      <w:r w:rsidR="009968B2">
        <w:rPr>
          <w:rFonts w:asciiTheme="minorHAnsi" w:eastAsiaTheme="minorEastAsia" w:hAnsiTheme="minorHAnsi" w:cstheme="minorBidi"/>
          <w:b w:val="0"/>
          <w:bCs w:val="0"/>
          <w:i w:val="0"/>
          <w:iCs w:val="0"/>
          <w:color w:val="auto"/>
          <w:lang w:val="de-DE"/>
        </w:rPr>
        <w:t xml:space="preserve">hinsichtlich </w:t>
      </w:r>
      <w:r w:rsidR="00561296">
        <w:rPr>
          <w:rFonts w:asciiTheme="minorHAnsi" w:eastAsiaTheme="minorEastAsia" w:hAnsiTheme="minorHAnsi" w:cstheme="minorBidi"/>
          <w:b w:val="0"/>
          <w:bCs w:val="0"/>
          <w:i w:val="0"/>
          <w:iCs w:val="0"/>
          <w:color w:val="auto"/>
          <w:lang w:val="de-DE"/>
        </w:rPr>
        <w:t xml:space="preserve">der Erbringung der angefragten Dienstleistung, so dass entsprechende Zahlungen gemäß den vertraglich festgelegten Bestimmungen und Bedingungen erfolgen können. </w:t>
      </w:r>
    </w:p>
    <w:p w14:paraId="16A0EE92" w14:textId="56CB93E8" w:rsidR="00A554CE" w:rsidRPr="0089585C" w:rsidRDefault="00596899" w:rsidP="00837AED">
      <w:pPr>
        <w:jc w:val="both"/>
        <w:rPr>
          <w:lang w:val="de-DE"/>
        </w:rPr>
      </w:pPr>
      <w:r w:rsidRPr="009C204E">
        <w:rPr>
          <w:lang w:val="de-DE"/>
        </w:rPr>
        <w:t>Wir verwenden in unserem Land</w:t>
      </w:r>
      <w:r w:rsidR="002C46D1">
        <w:rPr>
          <w:lang w:val="de-DE"/>
        </w:rPr>
        <w:t xml:space="preserve"> </w:t>
      </w:r>
      <w:r w:rsidR="0089585C" w:rsidRPr="009C204E">
        <w:rPr>
          <w:lang w:val="de-DE"/>
        </w:rPr>
        <w:t>auf Grundlage der lokal geltenden branchenspezifischen</w:t>
      </w:r>
      <w:r w:rsidRPr="009C204E">
        <w:rPr>
          <w:lang w:val="de-DE"/>
        </w:rPr>
        <w:t xml:space="preserve"> </w:t>
      </w:r>
      <w:r w:rsidR="0089585C" w:rsidRPr="009C204E">
        <w:rPr>
          <w:lang w:val="de-DE"/>
        </w:rPr>
        <w:t>Anforderungen zur Bestätigung der betreffenden Wertübertragung das Datum der Leistungserbringung.</w:t>
      </w:r>
    </w:p>
    <w:p w14:paraId="214CD6EF" w14:textId="050421DD" w:rsidR="00C250A7" w:rsidRPr="00684690" w:rsidRDefault="00684690" w:rsidP="00837AED">
      <w:pPr>
        <w:jc w:val="both"/>
        <w:rPr>
          <w:i/>
          <w:lang w:val="de-DE"/>
        </w:rPr>
      </w:pPr>
      <w:r w:rsidRPr="00684690">
        <w:rPr>
          <w:i/>
          <w:lang w:val="de-DE"/>
        </w:rPr>
        <w:lastRenderedPageBreak/>
        <w:t xml:space="preserve">Mit dem Begriff </w:t>
      </w:r>
      <w:r>
        <w:rPr>
          <w:i/>
          <w:lang w:val="de-DE"/>
        </w:rPr>
        <w:t>„Datum der Leistungserbringung“ bezeichnen wir das Datum, an dem die betreffende Dienstleistung tatsächlich er</w:t>
      </w:r>
      <w:r w:rsidR="00995A03">
        <w:rPr>
          <w:i/>
          <w:lang w:val="de-DE"/>
        </w:rPr>
        <w:t>bracht worden ist. D</w:t>
      </w:r>
      <w:r w:rsidR="00153632">
        <w:rPr>
          <w:i/>
          <w:lang w:val="de-DE"/>
        </w:rPr>
        <w:t xml:space="preserve">as bedeutet, dass </w:t>
      </w:r>
      <w:r>
        <w:rPr>
          <w:i/>
          <w:lang w:val="de-DE"/>
        </w:rPr>
        <w:t xml:space="preserve">beispielsweise </w:t>
      </w:r>
      <w:r w:rsidR="00153632">
        <w:rPr>
          <w:i/>
          <w:lang w:val="de-DE"/>
        </w:rPr>
        <w:t xml:space="preserve">bei Teilnahme </w:t>
      </w:r>
      <w:r>
        <w:rPr>
          <w:i/>
          <w:lang w:val="de-DE"/>
        </w:rPr>
        <w:t>ein</w:t>
      </w:r>
      <w:r w:rsidR="00153632">
        <w:rPr>
          <w:i/>
          <w:lang w:val="de-DE"/>
        </w:rPr>
        <w:t>es</w:t>
      </w:r>
      <w:r>
        <w:rPr>
          <w:i/>
          <w:lang w:val="de-DE"/>
        </w:rPr>
        <w:t xml:space="preserve"> </w:t>
      </w:r>
      <w:r w:rsidR="009C204E">
        <w:rPr>
          <w:i/>
          <w:lang w:val="de-DE"/>
        </w:rPr>
        <w:t>Fachkreisangehörige</w:t>
      </w:r>
      <w:r w:rsidR="00995A03">
        <w:rPr>
          <w:i/>
          <w:lang w:val="de-DE"/>
        </w:rPr>
        <w:t>n</w:t>
      </w:r>
      <w:r>
        <w:rPr>
          <w:i/>
          <w:lang w:val="de-DE"/>
        </w:rPr>
        <w:t xml:space="preserve"> an eine</w:t>
      </w:r>
      <w:r w:rsidR="007671DC">
        <w:rPr>
          <w:i/>
          <w:lang w:val="de-DE"/>
        </w:rPr>
        <w:t>r Fachbeirats</w:t>
      </w:r>
      <w:r w:rsidR="00153632">
        <w:rPr>
          <w:i/>
          <w:lang w:val="de-DE"/>
        </w:rPr>
        <w:t>sitzung (Advisory Board Meeting) für die Erfassung sämtlicher damit verbundener Wertübertragungen (z. B. Dienstleistungshonorare, Reisekosten) dasjenige Datum maßgeblich ist, an dem diese Fachbeiratssitzung tatsächlich stattgefunden hat, und die</w:t>
      </w:r>
      <w:r w:rsidR="00C938F7">
        <w:rPr>
          <w:i/>
          <w:lang w:val="de-DE"/>
        </w:rPr>
        <w:t xml:space="preserve"> betreffenden</w:t>
      </w:r>
      <w:r w:rsidR="00153632">
        <w:rPr>
          <w:i/>
          <w:lang w:val="de-DE"/>
        </w:rPr>
        <w:t xml:space="preserve"> Angaben werden </w:t>
      </w:r>
      <w:r w:rsidR="00C938F7">
        <w:rPr>
          <w:i/>
          <w:lang w:val="de-DE"/>
        </w:rPr>
        <w:t>dem</w:t>
      </w:r>
      <w:r w:rsidR="00153632">
        <w:rPr>
          <w:i/>
          <w:lang w:val="de-DE"/>
        </w:rPr>
        <w:t>entsprechend</w:t>
      </w:r>
      <w:r w:rsidR="00C938F7">
        <w:rPr>
          <w:i/>
          <w:lang w:val="de-DE"/>
        </w:rPr>
        <w:t xml:space="preserve"> o</w:t>
      </w:r>
      <w:r w:rsidR="00153632">
        <w:rPr>
          <w:i/>
          <w:lang w:val="de-DE"/>
        </w:rPr>
        <w:t xml:space="preserve">ffengelegt, selbst wenn einige Vergütungen erst später ausgezahlt werden. </w:t>
      </w:r>
    </w:p>
    <w:p w14:paraId="59E684EC" w14:textId="000A21CD" w:rsidR="00BC3190" w:rsidRPr="00ED5517" w:rsidRDefault="00C35D01" w:rsidP="00FD7DFC">
      <w:pPr>
        <w:jc w:val="both"/>
        <w:rPr>
          <w:lang w:val="de-DE"/>
        </w:rPr>
      </w:pPr>
      <w:r w:rsidRPr="00ED5517">
        <w:rPr>
          <w:lang w:val="de-DE"/>
        </w:rPr>
        <w:t>Hinsichtlich der Festlegung des Stichtags gilt Folgendes:</w:t>
      </w:r>
    </w:p>
    <w:p w14:paraId="31BE17E7" w14:textId="3F63F28B" w:rsidR="00C35D01" w:rsidRPr="00820326" w:rsidRDefault="00C35D01" w:rsidP="00FD7DFC">
      <w:pPr>
        <w:jc w:val="both"/>
        <w:rPr>
          <w:lang w:val="de-DE"/>
        </w:rPr>
      </w:pPr>
      <w:r w:rsidRPr="00ED5517">
        <w:rPr>
          <w:lang w:val="de-DE"/>
        </w:rPr>
        <w:t xml:space="preserve">Liegt das </w:t>
      </w:r>
      <w:r w:rsidRPr="009C204E">
        <w:rPr>
          <w:lang w:val="de-DE"/>
        </w:rPr>
        <w:t>Datum der Leistungserbringung</w:t>
      </w:r>
      <w:r w:rsidR="009C204E">
        <w:rPr>
          <w:lang w:val="de-DE"/>
        </w:rPr>
        <w:t xml:space="preserve"> </w:t>
      </w:r>
      <w:r w:rsidRPr="009C204E">
        <w:rPr>
          <w:lang w:val="de-DE"/>
        </w:rPr>
        <w:t>zwischen</w:t>
      </w:r>
      <w:r w:rsidRPr="00ED5517">
        <w:rPr>
          <w:lang w:val="de-DE"/>
        </w:rPr>
        <w:t xml:space="preserve"> dem 1. </w:t>
      </w:r>
      <w:r w:rsidRPr="00A1671F">
        <w:rPr>
          <w:lang w:val="de-DE"/>
        </w:rPr>
        <w:t xml:space="preserve">Januar und dem 31. </w:t>
      </w:r>
      <w:r w:rsidRPr="00820326">
        <w:rPr>
          <w:lang w:val="de-DE"/>
        </w:rPr>
        <w:t>Dezember</w:t>
      </w:r>
      <w:r w:rsidR="00ED5517">
        <w:rPr>
          <w:lang w:val="de-DE"/>
        </w:rPr>
        <w:t xml:space="preserve"> 201</w:t>
      </w:r>
      <w:r w:rsidR="00484803">
        <w:rPr>
          <w:lang w:val="de-DE"/>
        </w:rPr>
        <w:t>6</w:t>
      </w:r>
      <w:r w:rsidRPr="00820326">
        <w:rPr>
          <w:lang w:val="de-DE"/>
        </w:rPr>
        <w:t xml:space="preserve">,  so </w:t>
      </w:r>
      <w:r w:rsidR="00ED5517">
        <w:rPr>
          <w:lang w:val="de-DE"/>
        </w:rPr>
        <w:t>fällt</w:t>
      </w:r>
      <w:r w:rsidRPr="00820326">
        <w:rPr>
          <w:lang w:val="de-DE"/>
        </w:rPr>
        <w:t xml:space="preserve"> der betreffende Vorgang der Wertübertragung </w:t>
      </w:r>
      <w:r w:rsidR="00ED5517">
        <w:rPr>
          <w:lang w:val="de-DE"/>
        </w:rPr>
        <w:t xml:space="preserve">in den Geltungsbereich </w:t>
      </w:r>
      <w:r w:rsidRPr="00820326">
        <w:rPr>
          <w:lang w:val="de-DE"/>
        </w:rPr>
        <w:t>für unseren Offenlegungsbericht d</w:t>
      </w:r>
      <w:r w:rsidR="00ED5517">
        <w:rPr>
          <w:lang w:val="de-DE"/>
        </w:rPr>
        <w:t>e</w:t>
      </w:r>
      <w:r w:rsidRPr="00820326">
        <w:rPr>
          <w:lang w:val="de-DE"/>
        </w:rPr>
        <w:t>s Jahr</w:t>
      </w:r>
      <w:r w:rsidR="00ED5517">
        <w:rPr>
          <w:lang w:val="de-DE"/>
        </w:rPr>
        <w:t>es</w:t>
      </w:r>
      <w:r w:rsidRPr="00820326">
        <w:rPr>
          <w:lang w:val="de-DE"/>
        </w:rPr>
        <w:t xml:space="preserve"> 201</w:t>
      </w:r>
      <w:r w:rsidR="00484803">
        <w:rPr>
          <w:lang w:val="de-DE"/>
        </w:rPr>
        <w:t>6</w:t>
      </w:r>
      <w:r w:rsidRPr="00820326">
        <w:rPr>
          <w:lang w:val="de-DE"/>
        </w:rPr>
        <w:t xml:space="preserve">. </w:t>
      </w:r>
    </w:p>
    <w:p w14:paraId="0C3A32D9" w14:textId="25AAFEA1" w:rsidR="00D50C9A" w:rsidRPr="00230120" w:rsidRDefault="00FF07F5" w:rsidP="00FD7DFC">
      <w:pPr>
        <w:jc w:val="both"/>
        <w:rPr>
          <w:lang w:val="de-DE"/>
        </w:rPr>
      </w:pPr>
      <w:r w:rsidRPr="00961DB2">
        <w:rPr>
          <w:lang w:val="de-DE"/>
        </w:rPr>
        <w:t>Zudem kann die Offen</w:t>
      </w:r>
      <w:r w:rsidR="00230120" w:rsidRPr="00961DB2">
        <w:rPr>
          <w:lang w:val="de-DE"/>
        </w:rPr>
        <w:t>legung von Wertübertragungen für eine einzelne Tätigkeit bzw. Dienstleistung auch für einen Zeitraum von mehr als einem Jahr erfolgen, und zwar unter Berücksichtigung der</w:t>
      </w:r>
      <w:r w:rsidR="007F6C10" w:rsidRPr="00961DB2">
        <w:rPr>
          <w:lang w:val="de-DE"/>
        </w:rPr>
        <w:t>jenigen</w:t>
      </w:r>
      <w:r w:rsidR="00230120" w:rsidRPr="00961DB2">
        <w:rPr>
          <w:lang w:val="de-DE"/>
        </w:rPr>
        <w:t xml:space="preserve"> Zeitpunkte, zu denen die entsprechenden Zahlungen tatsächlich ge</w:t>
      </w:r>
      <w:r w:rsidR="007F6C10" w:rsidRPr="00961DB2">
        <w:rPr>
          <w:lang w:val="de-DE"/>
        </w:rPr>
        <w:t xml:space="preserve">leistet </w:t>
      </w:r>
      <w:r w:rsidR="00230120" w:rsidRPr="00961DB2">
        <w:rPr>
          <w:lang w:val="de-DE"/>
        </w:rPr>
        <w:t>werden</w:t>
      </w:r>
      <w:r w:rsidRPr="00961DB2">
        <w:rPr>
          <w:lang w:val="de-DE"/>
        </w:rPr>
        <w:t xml:space="preserve">. </w:t>
      </w:r>
    </w:p>
    <w:p w14:paraId="2DD399D0" w14:textId="249EBFAF" w:rsidR="002E1229" w:rsidRPr="00385958" w:rsidRDefault="00545024" w:rsidP="00F9125E">
      <w:pPr>
        <w:pStyle w:val="Heading2"/>
        <w:ind w:left="567" w:hanging="567"/>
        <w:jc w:val="both"/>
        <w:rPr>
          <w:rFonts w:asciiTheme="minorHAnsi" w:hAnsiTheme="minorHAnsi"/>
          <w:lang w:val="de-DE"/>
        </w:rPr>
      </w:pPr>
      <w:bookmarkStart w:id="49" w:name="_Toc453080763"/>
      <w:r w:rsidRPr="009C204E">
        <w:rPr>
          <w:rFonts w:asciiTheme="minorHAnsi" w:hAnsiTheme="minorHAnsi"/>
          <w:lang w:val="de-DE"/>
        </w:rPr>
        <w:t xml:space="preserve">4.2 </w:t>
      </w:r>
      <w:bookmarkStart w:id="50" w:name="_Toc311393077"/>
      <w:bookmarkStart w:id="51" w:name="_Toc313556002"/>
      <w:bookmarkStart w:id="52" w:name="_Toc310773583"/>
      <w:r w:rsidR="009E6B90" w:rsidRPr="00524A49">
        <w:rPr>
          <w:rFonts w:asciiTheme="minorHAnsi" w:hAnsiTheme="minorHAnsi"/>
          <w:lang w:val="de-DE"/>
        </w:rPr>
        <w:t>Währung</w:t>
      </w:r>
      <w:bookmarkEnd w:id="49"/>
    </w:p>
    <w:p w14:paraId="0A772720" w14:textId="7580C9CF" w:rsidR="002E1229" w:rsidRPr="00F83AAD" w:rsidRDefault="00F83AAD" w:rsidP="002E1229">
      <w:pPr>
        <w:jc w:val="both"/>
        <w:rPr>
          <w:lang w:val="de-DE"/>
        </w:rPr>
      </w:pPr>
      <w:r w:rsidRPr="00F83AAD">
        <w:rPr>
          <w:lang w:val="de-DE"/>
        </w:rPr>
        <w:t xml:space="preserve">Takeda </w:t>
      </w:r>
      <w:r w:rsidR="00241C80">
        <w:rPr>
          <w:lang w:val="de-DE"/>
        </w:rPr>
        <w:t>Pharma Vertrieb GmbH &amp; Co. KG</w:t>
      </w:r>
      <w:r w:rsidR="009C204E">
        <w:rPr>
          <w:lang w:val="de-DE"/>
        </w:rPr>
        <w:t xml:space="preserve"> </w:t>
      </w:r>
      <w:r w:rsidRPr="00F83AAD">
        <w:rPr>
          <w:lang w:val="de-DE"/>
        </w:rPr>
        <w:t xml:space="preserve">verwendet für den Offenlegungsbericht die Währung </w:t>
      </w:r>
      <w:r w:rsidR="00241C80">
        <w:rPr>
          <w:lang w:val="de-DE"/>
        </w:rPr>
        <w:t>EUR (Euro)</w:t>
      </w:r>
      <w:r>
        <w:rPr>
          <w:lang w:val="de-DE"/>
        </w:rPr>
        <w:t xml:space="preserve">, da diese die zum Zeitpunkt der Offenlegung offiziell verwendete </w:t>
      </w:r>
      <w:r w:rsidR="005549B7">
        <w:rPr>
          <w:lang w:val="de-DE"/>
        </w:rPr>
        <w:t xml:space="preserve">bzw. gültige </w:t>
      </w:r>
      <w:r>
        <w:rPr>
          <w:lang w:val="de-DE"/>
        </w:rPr>
        <w:t xml:space="preserve">Landeswährung darstellt. </w:t>
      </w:r>
      <w:r w:rsidR="002B3EF4">
        <w:rPr>
          <w:lang w:val="de-DE"/>
        </w:rPr>
        <w:t xml:space="preserve">Sofern eine Wertübertragung in einer anderen als der offiziellen Landeswährung erfolgt, wird der Betrag unter Berücksichtigung der </w:t>
      </w:r>
      <w:r w:rsidR="003F633E">
        <w:rPr>
          <w:lang w:val="de-DE"/>
        </w:rPr>
        <w:t xml:space="preserve">zum Zeitpunkt der Leistungserbringung geltenden </w:t>
      </w:r>
      <w:r w:rsidR="002B3EF4">
        <w:rPr>
          <w:lang w:val="de-DE"/>
        </w:rPr>
        <w:t xml:space="preserve"> Umrechnungskurse umgerechnet. </w:t>
      </w:r>
    </w:p>
    <w:bookmarkEnd w:id="50"/>
    <w:bookmarkEnd w:id="51"/>
    <w:p w14:paraId="41D90EFF" w14:textId="511E5A5F" w:rsidR="00F25C53" w:rsidRPr="007E4221" w:rsidRDefault="002B3EF4" w:rsidP="0044238E">
      <w:pPr>
        <w:ind w:left="596"/>
        <w:jc w:val="both"/>
        <w:rPr>
          <w:lang w:val="de-DE"/>
        </w:rPr>
      </w:pPr>
      <w:r w:rsidRPr="007E4221">
        <w:rPr>
          <w:lang w:val="de-DE"/>
        </w:rPr>
        <w:t xml:space="preserve">Als Beispiel einer in Fremdwährung vorgenommenen Wertübertragung </w:t>
      </w:r>
      <w:r w:rsidR="007E4221" w:rsidRPr="007E4221">
        <w:rPr>
          <w:lang w:val="de-DE"/>
        </w:rPr>
        <w:t>wäre hier das Szenario zu nennen, wenn ein</w:t>
      </w:r>
      <w:r w:rsidR="007E4221">
        <w:rPr>
          <w:lang w:val="de-DE"/>
        </w:rPr>
        <w:t>em</w:t>
      </w:r>
      <w:r w:rsidR="007E4221" w:rsidRPr="007E4221">
        <w:rPr>
          <w:lang w:val="de-DE"/>
        </w:rPr>
        <w:t xml:space="preserve"> </w:t>
      </w:r>
      <w:r w:rsidR="009C204E">
        <w:rPr>
          <w:lang w:val="de-DE"/>
        </w:rPr>
        <w:t>Fachkreisangehörigen</w:t>
      </w:r>
      <w:r w:rsidR="007E4221">
        <w:rPr>
          <w:lang w:val="de-DE"/>
        </w:rPr>
        <w:t xml:space="preserve"> Reisekosten in einem anderen Land, in dem er eine Dienstleistung erb</w:t>
      </w:r>
      <w:r w:rsidR="00DC2ECB">
        <w:rPr>
          <w:lang w:val="de-DE"/>
        </w:rPr>
        <w:t>ring</w:t>
      </w:r>
      <w:r w:rsidR="007E4221">
        <w:rPr>
          <w:lang w:val="de-DE"/>
        </w:rPr>
        <w:t xml:space="preserve">t, entstanden sind und wir ihm diese Fahrtkosten </w:t>
      </w:r>
      <w:r w:rsidR="00DC2ECB">
        <w:rPr>
          <w:lang w:val="de-DE"/>
        </w:rPr>
        <w:t xml:space="preserve">dann </w:t>
      </w:r>
      <w:r w:rsidR="007E4221">
        <w:rPr>
          <w:lang w:val="de-DE"/>
        </w:rPr>
        <w:t>zurückerstatten.</w:t>
      </w:r>
    </w:p>
    <w:p w14:paraId="21387DCF" w14:textId="63E39E13" w:rsidR="00F25C53" w:rsidRPr="009C204E" w:rsidRDefault="001D0A61" w:rsidP="00F9125E">
      <w:pPr>
        <w:pStyle w:val="Heading2"/>
        <w:ind w:left="567" w:hanging="567"/>
        <w:jc w:val="both"/>
        <w:rPr>
          <w:rFonts w:asciiTheme="minorHAnsi" w:hAnsiTheme="minorHAnsi"/>
          <w:lang w:val="de-DE"/>
        </w:rPr>
      </w:pPr>
      <w:bookmarkStart w:id="53" w:name="_Toc453080764"/>
      <w:r w:rsidRPr="009C204E">
        <w:rPr>
          <w:rFonts w:asciiTheme="minorHAnsi" w:hAnsiTheme="minorHAnsi"/>
          <w:lang w:val="de-DE"/>
        </w:rPr>
        <w:t xml:space="preserve">4.3 </w:t>
      </w:r>
      <w:r w:rsidR="009E6B90" w:rsidRPr="009C204E">
        <w:rPr>
          <w:rFonts w:asciiTheme="minorHAnsi" w:hAnsiTheme="minorHAnsi"/>
          <w:lang w:val="de-DE"/>
        </w:rPr>
        <w:t>Steu</w:t>
      </w:r>
      <w:r w:rsidR="00F25C53" w:rsidRPr="009C204E">
        <w:rPr>
          <w:rFonts w:asciiTheme="minorHAnsi" w:hAnsiTheme="minorHAnsi"/>
          <w:lang w:val="de-DE"/>
        </w:rPr>
        <w:t>e</w:t>
      </w:r>
      <w:r w:rsidR="009E6B90" w:rsidRPr="009C204E">
        <w:rPr>
          <w:rFonts w:asciiTheme="minorHAnsi" w:hAnsiTheme="minorHAnsi"/>
          <w:lang w:val="de-DE"/>
        </w:rPr>
        <w:t>rn</w:t>
      </w:r>
      <w:bookmarkEnd w:id="53"/>
    </w:p>
    <w:p w14:paraId="73292E91" w14:textId="04828317" w:rsidR="007E4221" w:rsidRPr="003B6B6F" w:rsidRDefault="007E4221" w:rsidP="007E4221">
      <w:pPr>
        <w:jc w:val="both"/>
        <w:rPr>
          <w:lang w:val="de-DE"/>
        </w:rPr>
      </w:pPr>
      <w:r w:rsidRPr="00F235A6">
        <w:rPr>
          <w:lang w:val="de-DE"/>
        </w:rPr>
        <w:t>Honorar-/Gebührenzahlungen</w:t>
      </w:r>
      <w:r w:rsidR="003B6B6F" w:rsidRPr="00F235A6">
        <w:rPr>
          <w:lang w:val="de-DE"/>
        </w:rPr>
        <w:t xml:space="preserve"> unterliegen der Besteuerung. </w:t>
      </w:r>
      <w:r w:rsidR="003B6B6F" w:rsidRPr="003B6B6F">
        <w:rPr>
          <w:lang w:val="de-DE"/>
        </w:rPr>
        <w:t xml:space="preserve">Bei den in unserem Bericht erfassten Beträgen handelt es sich um </w:t>
      </w:r>
      <w:r w:rsidR="003B6B6F" w:rsidRPr="009C204E">
        <w:rPr>
          <w:lang w:val="de-DE"/>
        </w:rPr>
        <w:t>N</w:t>
      </w:r>
      <w:r w:rsidRPr="009C204E">
        <w:rPr>
          <w:lang w:val="de-DE"/>
        </w:rPr>
        <w:t>e</w:t>
      </w:r>
      <w:r w:rsidR="003B6B6F" w:rsidRPr="009C204E">
        <w:rPr>
          <w:lang w:val="de-DE"/>
        </w:rPr>
        <w:t>tto</w:t>
      </w:r>
      <w:r w:rsidR="003B6B6F">
        <w:rPr>
          <w:lang w:val="de-DE"/>
        </w:rPr>
        <w:t>-Beträge</w:t>
      </w:r>
      <w:r w:rsidR="00C66471">
        <w:rPr>
          <w:lang w:val="de-DE"/>
        </w:rPr>
        <w:t xml:space="preserve"> ohne MWSt. Diese Beträge müssen aber einkommensteuerlich noch durch den Empfänger der Leistung abgeführt werden</w:t>
      </w:r>
      <w:r w:rsidR="000A297B">
        <w:rPr>
          <w:lang w:val="de-DE"/>
        </w:rPr>
        <w:t>.</w:t>
      </w:r>
      <w:r w:rsidRPr="003B6B6F">
        <w:rPr>
          <w:lang w:val="de-DE"/>
        </w:rPr>
        <w:t xml:space="preserve"> </w:t>
      </w:r>
    </w:p>
    <w:p w14:paraId="60301808" w14:textId="7D32D293" w:rsidR="00362C42" w:rsidRPr="002D4FBA" w:rsidRDefault="00BC3190" w:rsidP="00F9125E">
      <w:pPr>
        <w:pStyle w:val="Heading2"/>
        <w:ind w:left="567" w:hanging="567"/>
        <w:jc w:val="both"/>
        <w:rPr>
          <w:rFonts w:asciiTheme="minorHAnsi" w:hAnsiTheme="minorHAnsi"/>
          <w:lang w:val="de-DE"/>
        </w:rPr>
      </w:pPr>
      <w:bookmarkStart w:id="54" w:name="_Toc453080765"/>
      <w:r w:rsidRPr="00F235A6">
        <w:rPr>
          <w:rFonts w:asciiTheme="minorHAnsi" w:hAnsiTheme="minorHAnsi"/>
          <w:lang w:val="de-DE"/>
        </w:rPr>
        <w:t>4.</w:t>
      </w:r>
      <w:r w:rsidR="002D4FBA">
        <w:rPr>
          <w:rFonts w:asciiTheme="minorHAnsi" w:hAnsiTheme="minorHAnsi"/>
          <w:lang w:val="de-DE"/>
        </w:rPr>
        <w:t>4</w:t>
      </w:r>
      <w:r w:rsidR="00604832" w:rsidRPr="00F235A6">
        <w:rPr>
          <w:rFonts w:asciiTheme="minorHAnsi" w:hAnsiTheme="minorHAnsi"/>
          <w:lang w:val="de-DE"/>
        </w:rPr>
        <w:t xml:space="preserve"> </w:t>
      </w:r>
      <w:r w:rsidR="009E6B90" w:rsidRPr="00F235A6">
        <w:rPr>
          <w:rFonts w:asciiTheme="minorHAnsi" w:hAnsiTheme="minorHAnsi"/>
          <w:lang w:val="de-DE"/>
        </w:rPr>
        <w:t>Mehrwertsteuer</w:t>
      </w:r>
      <w:r w:rsidR="00D420A5" w:rsidRPr="00F235A6">
        <w:rPr>
          <w:rFonts w:asciiTheme="minorHAnsi" w:hAnsiTheme="minorHAnsi"/>
          <w:lang w:val="de-DE"/>
        </w:rPr>
        <w:t xml:space="preserve"> (</w:t>
      </w:r>
      <w:r w:rsidR="00F9125E" w:rsidRPr="00F235A6">
        <w:rPr>
          <w:rFonts w:asciiTheme="minorHAnsi" w:hAnsiTheme="minorHAnsi"/>
          <w:lang w:val="de-DE"/>
        </w:rPr>
        <w:t>MwSt.</w:t>
      </w:r>
      <w:r w:rsidR="00D420A5" w:rsidRPr="00F235A6">
        <w:rPr>
          <w:rFonts w:asciiTheme="minorHAnsi" w:hAnsiTheme="minorHAnsi"/>
          <w:lang w:val="de-DE"/>
        </w:rPr>
        <w:t>)</w:t>
      </w:r>
      <w:bookmarkEnd w:id="54"/>
    </w:p>
    <w:p w14:paraId="02D8CF54" w14:textId="49BAE495" w:rsidR="003B6B6F" w:rsidRPr="006B2F99" w:rsidRDefault="003B6B6F" w:rsidP="003B6B6F">
      <w:pPr>
        <w:jc w:val="both"/>
        <w:rPr>
          <w:lang w:val="de-DE"/>
        </w:rPr>
      </w:pPr>
      <w:r w:rsidRPr="00F235A6">
        <w:rPr>
          <w:lang w:val="de-DE"/>
        </w:rPr>
        <w:t>Aufwendungen wie etwa Reise- und Unterbringungskosten unterliegen der Mehrwertsteuer</w:t>
      </w:r>
      <w:r w:rsidR="00F235A6" w:rsidRPr="00F235A6">
        <w:rPr>
          <w:lang w:val="de-DE"/>
        </w:rPr>
        <w:t xml:space="preserve">. </w:t>
      </w:r>
      <w:r w:rsidRPr="003B6B6F">
        <w:rPr>
          <w:lang w:val="de-DE"/>
        </w:rPr>
        <w:t xml:space="preserve">Die erfassten und </w:t>
      </w:r>
      <w:r w:rsidR="00F235A6">
        <w:rPr>
          <w:lang w:val="de-DE"/>
        </w:rPr>
        <w:t>offengelegten</w:t>
      </w:r>
      <w:r w:rsidRPr="003B6B6F">
        <w:rPr>
          <w:lang w:val="de-DE"/>
        </w:rPr>
        <w:t xml:space="preserve"> Angaben verstehen sich </w:t>
      </w:r>
      <w:r>
        <w:rPr>
          <w:lang w:val="de-DE"/>
        </w:rPr>
        <w:t>ausschließlich MWSt</w:t>
      </w:r>
      <w:r w:rsidRPr="003B6B6F">
        <w:rPr>
          <w:lang w:val="de-DE"/>
        </w:rPr>
        <w:t xml:space="preserve">. </w:t>
      </w:r>
    </w:p>
    <w:p w14:paraId="21C55DE5" w14:textId="77777777" w:rsidR="00F9125E" w:rsidRPr="006619B0" w:rsidRDefault="00F9125E" w:rsidP="00F9125E">
      <w:pPr>
        <w:pStyle w:val="Heading2"/>
        <w:ind w:left="567" w:hanging="567"/>
        <w:jc w:val="both"/>
        <w:rPr>
          <w:rFonts w:asciiTheme="minorHAnsi" w:hAnsiTheme="minorHAnsi"/>
          <w:color w:val="365F91" w:themeColor="accent1" w:themeShade="BF"/>
          <w:sz w:val="28"/>
          <w:szCs w:val="28"/>
          <w:lang w:val="de-DE"/>
        </w:rPr>
      </w:pPr>
      <w:bookmarkStart w:id="55" w:name="_Toc453080766"/>
    </w:p>
    <w:p w14:paraId="3DFA7C70" w14:textId="77777777" w:rsidR="001D0A61" w:rsidRPr="006619B0" w:rsidRDefault="00545024" w:rsidP="00F9125E">
      <w:pPr>
        <w:pStyle w:val="Heading2"/>
        <w:ind w:left="567" w:hanging="567"/>
        <w:jc w:val="both"/>
        <w:rPr>
          <w:rFonts w:asciiTheme="minorHAnsi" w:hAnsiTheme="minorHAnsi"/>
          <w:color w:val="365F91" w:themeColor="accent1" w:themeShade="BF"/>
          <w:sz w:val="28"/>
          <w:szCs w:val="28"/>
          <w:lang w:val="de-DE"/>
        </w:rPr>
      </w:pPr>
      <w:r w:rsidRPr="006619B0">
        <w:rPr>
          <w:rFonts w:asciiTheme="minorHAnsi" w:hAnsiTheme="minorHAnsi"/>
          <w:color w:val="365F91" w:themeColor="accent1" w:themeShade="BF"/>
          <w:sz w:val="28"/>
          <w:szCs w:val="28"/>
          <w:lang w:val="de-DE"/>
        </w:rPr>
        <w:t xml:space="preserve">5. </w:t>
      </w:r>
      <w:r w:rsidR="001D0A61" w:rsidRPr="006619B0">
        <w:rPr>
          <w:rFonts w:asciiTheme="minorHAnsi" w:hAnsiTheme="minorHAnsi"/>
          <w:color w:val="365F91" w:themeColor="accent1" w:themeShade="BF"/>
          <w:sz w:val="28"/>
          <w:szCs w:val="28"/>
          <w:lang w:val="de-DE"/>
        </w:rPr>
        <w:t>Sonstige allgemeine Regelungen</w:t>
      </w:r>
      <w:bookmarkEnd w:id="55"/>
      <w:r w:rsidR="001D0A61" w:rsidRPr="006619B0">
        <w:rPr>
          <w:rFonts w:asciiTheme="minorHAnsi" w:hAnsiTheme="minorHAnsi"/>
          <w:color w:val="365F91" w:themeColor="accent1" w:themeShade="BF"/>
          <w:sz w:val="28"/>
          <w:szCs w:val="28"/>
          <w:lang w:val="de-DE"/>
        </w:rPr>
        <w:t xml:space="preserve"> </w:t>
      </w:r>
    </w:p>
    <w:p w14:paraId="5039C6B6" w14:textId="4D849FEA" w:rsidR="001D0A61" w:rsidRPr="009C204E" w:rsidRDefault="001D0A61" w:rsidP="00C0602C">
      <w:pPr>
        <w:pStyle w:val="Heading2"/>
        <w:jc w:val="both"/>
        <w:rPr>
          <w:rFonts w:asciiTheme="minorHAnsi" w:eastAsiaTheme="minorEastAsia" w:hAnsiTheme="minorHAnsi" w:cstheme="minorBidi"/>
          <w:b w:val="0"/>
          <w:bCs w:val="0"/>
          <w:color w:val="auto"/>
          <w:sz w:val="22"/>
          <w:szCs w:val="22"/>
          <w:lang w:val="de-DE"/>
        </w:rPr>
      </w:pPr>
      <w:bookmarkStart w:id="56" w:name="_Toc453080767"/>
      <w:r w:rsidRPr="009C204E">
        <w:rPr>
          <w:rFonts w:asciiTheme="minorHAnsi" w:eastAsiaTheme="minorEastAsia" w:hAnsiTheme="minorHAnsi" w:cstheme="minorBidi"/>
          <w:b w:val="0"/>
          <w:bCs w:val="0"/>
          <w:color w:val="auto"/>
          <w:sz w:val="22"/>
          <w:szCs w:val="22"/>
          <w:lang w:val="de-DE"/>
        </w:rPr>
        <w:t>Diese methodischen Hinweise folgen dem Grundprinzip des FSA, zu finden unter www.pharma-transparenz.de</w:t>
      </w:r>
      <w:bookmarkEnd w:id="56"/>
    </w:p>
    <w:p w14:paraId="69E8CF9C" w14:textId="77777777" w:rsidR="001D0A61" w:rsidRDefault="001D0A61" w:rsidP="00F9125E">
      <w:pPr>
        <w:pStyle w:val="Heading2"/>
        <w:ind w:left="567" w:hanging="567"/>
        <w:jc w:val="both"/>
        <w:rPr>
          <w:rFonts w:asciiTheme="minorHAnsi" w:hAnsiTheme="minorHAnsi"/>
          <w:lang w:val="de-DE"/>
        </w:rPr>
      </w:pPr>
      <w:bookmarkStart w:id="57" w:name="_Toc453080768"/>
      <w:r w:rsidRPr="001D0A61">
        <w:rPr>
          <w:rFonts w:asciiTheme="minorHAnsi" w:hAnsiTheme="minorHAnsi"/>
          <w:lang w:val="de-DE"/>
        </w:rPr>
        <w:t xml:space="preserve">5.1 </w:t>
      </w:r>
      <w:r w:rsidRPr="009C204E">
        <w:rPr>
          <w:rFonts w:asciiTheme="minorHAnsi" w:hAnsiTheme="minorHAnsi"/>
          <w:lang w:val="de-DE"/>
        </w:rPr>
        <w:t>Dauer der Veröffentlichung</w:t>
      </w:r>
      <w:bookmarkEnd w:id="57"/>
    </w:p>
    <w:p w14:paraId="6180A3C4" w14:textId="1E91E7AE" w:rsidR="001D0A61" w:rsidRPr="009C204E" w:rsidRDefault="00FB1FAE" w:rsidP="00FD7DFC">
      <w:pPr>
        <w:jc w:val="both"/>
        <w:rPr>
          <w:lang w:val="de-DE"/>
        </w:rPr>
      </w:pPr>
      <w:r>
        <w:rPr>
          <w:lang w:val="de-DE"/>
        </w:rPr>
        <w:t>Der Bericht</w:t>
      </w:r>
      <w:r w:rsidR="001D0A61">
        <w:rPr>
          <w:lang w:val="de-DE"/>
        </w:rPr>
        <w:t xml:space="preserve"> zu den Wertübertragungen </w:t>
      </w:r>
      <w:r w:rsidR="00484803">
        <w:rPr>
          <w:lang w:val="de-DE"/>
        </w:rPr>
        <w:t>für das Jahr 2016</w:t>
      </w:r>
      <w:r>
        <w:rPr>
          <w:lang w:val="de-DE"/>
        </w:rPr>
        <w:t xml:space="preserve"> bleibt grundsätzlich drei Jahre auf unserer Homepage einsehbar. Widerruft ein </w:t>
      </w:r>
      <w:r w:rsidR="009C204E">
        <w:rPr>
          <w:lang w:val="de-DE"/>
        </w:rPr>
        <w:t>Fachkreisangehöriger</w:t>
      </w:r>
      <w:r>
        <w:rPr>
          <w:lang w:val="de-DE"/>
        </w:rPr>
        <w:t xml:space="preserve"> seine Einwilligung vor Ablauf dieses Zeitraumes, passen wir den Bericht entsprechend an. </w:t>
      </w:r>
    </w:p>
    <w:p w14:paraId="3819AF53" w14:textId="0132CFF9" w:rsidR="00545024" w:rsidRPr="001D0A61" w:rsidRDefault="001D0A61" w:rsidP="00F9125E">
      <w:pPr>
        <w:pStyle w:val="Heading2"/>
        <w:ind w:left="567" w:hanging="567"/>
        <w:jc w:val="both"/>
        <w:rPr>
          <w:rFonts w:asciiTheme="minorHAnsi" w:hAnsiTheme="minorHAnsi"/>
          <w:lang w:val="de-DE"/>
        </w:rPr>
      </w:pPr>
      <w:bookmarkStart w:id="58" w:name="_Toc453080769"/>
      <w:r w:rsidRPr="009C204E">
        <w:rPr>
          <w:rFonts w:asciiTheme="minorHAnsi" w:hAnsiTheme="minorHAnsi"/>
          <w:lang w:val="de-DE"/>
        </w:rPr>
        <w:lastRenderedPageBreak/>
        <w:t xml:space="preserve">5.2 </w:t>
      </w:r>
      <w:r w:rsidR="00E530BB">
        <w:rPr>
          <w:rFonts w:asciiTheme="minorHAnsi" w:hAnsiTheme="minorHAnsi"/>
          <w:lang w:val="de-DE"/>
        </w:rPr>
        <w:t>Clearingstelle/Widerspruchsmanagement</w:t>
      </w:r>
      <w:bookmarkEnd w:id="58"/>
    </w:p>
    <w:p w14:paraId="20AB6396" w14:textId="77C4D75D" w:rsidR="00545024" w:rsidRPr="006B2F99" w:rsidRDefault="006B2F99" w:rsidP="00FD7DFC">
      <w:pPr>
        <w:pStyle w:val="NormalWeb"/>
        <w:spacing w:before="0" w:beforeAutospacing="0" w:after="200" w:afterAutospacing="0" w:line="276" w:lineRule="auto"/>
        <w:jc w:val="both"/>
        <w:rPr>
          <w:rFonts w:asciiTheme="minorHAnsi" w:eastAsiaTheme="minorEastAsia" w:hAnsiTheme="minorHAnsi" w:cstheme="minorBidi"/>
          <w:sz w:val="22"/>
          <w:szCs w:val="22"/>
          <w:lang w:val="de-DE" w:eastAsia="en-US"/>
        </w:rPr>
      </w:pPr>
      <w:r w:rsidRPr="006B2F99">
        <w:rPr>
          <w:rFonts w:asciiTheme="minorHAnsi" w:eastAsiaTheme="minorEastAsia" w:hAnsiTheme="minorHAnsi" w:cstheme="minorBidi"/>
          <w:sz w:val="22"/>
          <w:szCs w:val="22"/>
          <w:lang w:val="de-DE" w:eastAsia="en-US"/>
        </w:rPr>
        <w:t>Für den Fall, dass z. B. allgemeine Fragen bzw. Uneinigkeit</w:t>
      </w:r>
      <w:r w:rsidR="008F51B4">
        <w:rPr>
          <w:rFonts w:asciiTheme="minorHAnsi" w:eastAsiaTheme="minorEastAsia" w:hAnsiTheme="minorHAnsi" w:cstheme="minorBidi"/>
          <w:sz w:val="22"/>
          <w:szCs w:val="22"/>
          <w:lang w:val="de-DE" w:eastAsia="en-US"/>
        </w:rPr>
        <w:t>en</w:t>
      </w:r>
      <w:r w:rsidRPr="006B2F99">
        <w:rPr>
          <w:rFonts w:asciiTheme="minorHAnsi" w:eastAsiaTheme="minorEastAsia" w:hAnsiTheme="minorHAnsi" w:cstheme="minorBidi"/>
          <w:sz w:val="22"/>
          <w:szCs w:val="22"/>
          <w:lang w:val="de-DE" w:eastAsia="en-US"/>
        </w:rPr>
        <w:t xml:space="preserve"> in Verbindung mit den berichteten Daten und/oder mit Anfragen </w:t>
      </w:r>
      <w:r>
        <w:rPr>
          <w:rFonts w:asciiTheme="minorHAnsi" w:eastAsiaTheme="minorEastAsia" w:hAnsiTheme="minorHAnsi" w:cstheme="minorBidi"/>
          <w:sz w:val="22"/>
          <w:szCs w:val="22"/>
          <w:lang w:val="de-DE" w:eastAsia="en-US"/>
        </w:rPr>
        <w:t xml:space="preserve">bezüglich der Hinzufügung bzw. Rücknahme einer datenschutzrechtlichen Zustimmung eines </w:t>
      </w:r>
      <w:r w:rsidR="009C204E">
        <w:rPr>
          <w:rFonts w:asciiTheme="minorHAnsi" w:eastAsiaTheme="minorEastAsia" w:hAnsiTheme="minorHAnsi" w:cstheme="minorBidi"/>
          <w:sz w:val="22"/>
          <w:szCs w:val="22"/>
          <w:lang w:val="de-DE" w:eastAsia="en-US"/>
        </w:rPr>
        <w:t>Fachkreisangehörigen</w:t>
      </w:r>
      <w:r>
        <w:rPr>
          <w:rFonts w:asciiTheme="minorHAnsi" w:eastAsiaTheme="minorEastAsia" w:hAnsiTheme="minorHAnsi" w:cstheme="minorBidi"/>
          <w:sz w:val="22"/>
          <w:szCs w:val="22"/>
          <w:lang w:val="de-DE" w:eastAsia="en-US"/>
        </w:rPr>
        <w:t xml:space="preserve">/einer Gesundheitsorganisation zur Offenlegung von Daten bestehen, hat das Unternehmen </w:t>
      </w:r>
      <w:r w:rsidRPr="009C204E">
        <w:rPr>
          <w:rFonts w:asciiTheme="minorHAnsi" w:eastAsiaTheme="minorEastAsia" w:hAnsiTheme="minorHAnsi" w:cstheme="minorBidi"/>
          <w:sz w:val="22"/>
          <w:szCs w:val="22"/>
          <w:lang w:val="de-DE" w:eastAsia="en-US"/>
        </w:rPr>
        <w:t>Takeda ein</w:t>
      </w:r>
      <w:r w:rsidR="00330D4F" w:rsidRPr="009C204E">
        <w:rPr>
          <w:rFonts w:asciiTheme="minorHAnsi" w:eastAsiaTheme="minorEastAsia" w:hAnsiTheme="minorHAnsi" w:cstheme="minorBidi"/>
          <w:sz w:val="22"/>
          <w:szCs w:val="22"/>
          <w:lang w:val="de-DE" w:eastAsia="en-US"/>
        </w:rPr>
        <w:t>e</w:t>
      </w:r>
      <w:r w:rsidR="00330D4F">
        <w:rPr>
          <w:rFonts w:asciiTheme="minorHAnsi" w:eastAsiaTheme="minorEastAsia" w:hAnsiTheme="minorHAnsi" w:cstheme="minorBidi"/>
          <w:sz w:val="22"/>
          <w:szCs w:val="22"/>
          <w:lang w:val="de-DE" w:eastAsia="en-US"/>
        </w:rPr>
        <w:t xml:space="preserve"> Clearingstelle eingerichtet, die bei Rückfragen und Widersprüchen zur Verfügung steht. </w:t>
      </w:r>
    </w:p>
    <w:p w14:paraId="4EB645CD" w14:textId="13BA606C" w:rsidR="007A2EB0" w:rsidRPr="007A2EB0" w:rsidRDefault="006B2F99" w:rsidP="00FD7DFC">
      <w:pPr>
        <w:pStyle w:val="NormalWeb"/>
        <w:spacing w:before="0" w:beforeAutospacing="0" w:after="200" w:afterAutospacing="0" w:line="276" w:lineRule="auto"/>
        <w:jc w:val="both"/>
        <w:rPr>
          <w:lang w:val="de-DE"/>
        </w:rPr>
      </w:pPr>
      <w:r w:rsidRPr="007A2EB0">
        <w:rPr>
          <w:rFonts w:asciiTheme="minorHAnsi" w:eastAsiaTheme="minorEastAsia" w:hAnsiTheme="minorHAnsi" w:cstheme="minorBidi"/>
          <w:sz w:val="22"/>
          <w:szCs w:val="22"/>
          <w:lang w:val="de-DE" w:eastAsia="en-US"/>
        </w:rPr>
        <w:t>Setzen Sie sich</w:t>
      </w:r>
      <w:r w:rsidR="007A2EB0" w:rsidRPr="007A2EB0">
        <w:rPr>
          <w:rFonts w:asciiTheme="minorHAnsi" w:eastAsiaTheme="minorEastAsia" w:hAnsiTheme="minorHAnsi" w:cstheme="minorBidi"/>
          <w:sz w:val="22"/>
          <w:szCs w:val="22"/>
          <w:lang w:val="de-DE" w:eastAsia="en-US"/>
        </w:rPr>
        <w:t xml:space="preserve"> </w:t>
      </w:r>
      <w:r w:rsidRPr="007A2EB0">
        <w:rPr>
          <w:rFonts w:asciiTheme="minorHAnsi" w:eastAsiaTheme="minorEastAsia" w:hAnsiTheme="minorHAnsi" w:cstheme="minorBidi"/>
          <w:sz w:val="22"/>
          <w:szCs w:val="22"/>
          <w:lang w:val="de-DE" w:eastAsia="en-US"/>
        </w:rPr>
        <w:t>im Falle etwaiger Anmerkungen oder Fragen zum Umgang des Unternehmens Tak</w:t>
      </w:r>
      <w:r w:rsidR="007A2EB0" w:rsidRPr="007A2EB0">
        <w:rPr>
          <w:rFonts w:asciiTheme="minorHAnsi" w:eastAsiaTheme="minorEastAsia" w:hAnsiTheme="minorHAnsi" w:cstheme="minorBidi"/>
          <w:sz w:val="22"/>
          <w:szCs w:val="22"/>
          <w:lang w:val="de-DE" w:eastAsia="en-US"/>
        </w:rPr>
        <w:t>eda mit</w:t>
      </w:r>
      <w:r w:rsidR="00BE5F15">
        <w:rPr>
          <w:rFonts w:asciiTheme="minorHAnsi" w:eastAsiaTheme="minorEastAsia" w:hAnsiTheme="minorHAnsi" w:cstheme="minorBidi"/>
          <w:sz w:val="22"/>
          <w:szCs w:val="22"/>
          <w:lang w:val="de-DE" w:eastAsia="en-US"/>
        </w:rPr>
        <w:t xml:space="preserve"> spezifischen</w:t>
      </w:r>
      <w:r w:rsidR="007A2EB0" w:rsidRPr="007A2EB0">
        <w:rPr>
          <w:rFonts w:asciiTheme="minorHAnsi" w:eastAsiaTheme="minorEastAsia" w:hAnsiTheme="minorHAnsi" w:cstheme="minorBidi"/>
          <w:sz w:val="22"/>
          <w:szCs w:val="22"/>
          <w:lang w:val="de-DE" w:eastAsia="en-US"/>
        </w:rPr>
        <w:t xml:space="preserve"> Angaben und Daten, zu diesen Methodischen Hinweisen, zum Inhalt der Offenlegung oder zur Datenschutzrichtlinie von Takeda bitte mit de</w:t>
      </w:r>
      <w:r w:rsidR="009C204E">
        <w:rPr>
          <w:rFonts w:asciiTheme="minorHAnsi" w:eastAsiaTheme="minorEastAsia" w:hAnsiTheme="minorHAnsi" w:cstheme="minorBidi"/>
          <w:sz w:val="22"/>
          <w:szCs w:val="22"/>
          <w:lang w:val="de-DE" w:eastAsia="en-US"/>
        </w:rPr>
        <w:t>n</w:t>
      </w:r>
      <w:r w:rsidR="007A2EB0" w:rsidRPr="007A2EB0">
        <w:rPr>
          <w:rFonts w:asciiTheme="minorHAnsi" w:eastAsiaTheme="minorEastAsia" w:hAnsiTheme="minorHAnsi" w:cstheme="minorBidi"/>
          <w:sz w:val="22"/>
          <w:szCs w:val="22"/>
          <w:lang w:val="de-DE" w:eastAsia="en-US"/>
        </w:rPr>
        <w:t xml:space="preserve"> </w:t>
      </w:r>
      <w:r w:rsidR="009C204E">
        <w:rPr>
          <w:rFonts w:asciiTheme="minorHAnsi" w:eastAsiaTheme="minorEastAsia" w:hAnsiTheme="minorHAnsi" w:cstheme="minorBidi"/>
          <w:sz w:val="22"/>
          <w:szCs w:val="22"/>
          <w:lang w:val="de-DE" w:eastAsia="en-US"/>
        </w:rPr>
        <w:t>Ansprechpartnern zum Thema FSA-Transparenzkodex</w:t>
      </w:r>
      <w:r w:rsidR="007A2EB0" w:rsidRPr="007A2EB0">
        <w:rPr>
          <w:rFonts w:asciiTheme="minorHAnsi" w:eastAsiaTheme="minorEastAsia" w:hAnsiTheme="minorHAnsi" w:cstheme="minorBidi"/>
          <w:sz w:val="22"/>
          <w:szCs w:val="22"/>
          <w:lang w:val="de-DE" w:eastAsia="en-US"/>
        </w:rPr>
        <w:t xml:space="preserve"> unter Verwendung der E-Mail-Adresse </w:t>
      </w:r>
      <w:r w:rsidR="00E530BB">
        <w:rPr>
          <w:rFonts w:asciiTheme="minorHAnsi" w:eastAsiaTheme="minorEastAsia" w:hAnsiTheme="minorHAnsi" w:cstheme="minorBidi"/>
          <w:sz w:val="22"/>
          <w:szCs w:val="22"/>
          <w:lang w:val="de-DE" w:eastAsia="en-US"/>
        </w:rPr>
        <w:t>transparenz@takeda.com</w:t>
      </w:r>
      <w:r w:rsidR="007A2EB0" w:rsidRPr="007A2EB0">
        <w:rPr>
          <w:rFonts w:asciiTheme="minorHAnsi" w:eastAsiaTheme="minorEastAsia" w:hAnsiTheme="minorHAnsi" w:cstheme="minorBidi"/>
          <w:sz w:val="22"/>
          <w:szCs w:val="22"/>
          <w:lang w:val="de-DE" w:eastAsia="en-US"/>
        </w:rPr>
        <w:t xml:space="preserve"> </w:t>
      </w:r>
      <w:r w:rsidR="007A2EB0">
        <w:rPr>
          <w:rFonts w:asciiTheme="minorHAnsi" w:eastAsiaTheme="minorEastAsia" w:hAnsiTheme="minorHAnsi" w:cstheme="minorBidi"/>
          <w:sz w:val="22"/>
          <w:szCs w:val="22"/>
          <w:lang w:val="de-DE" w:eastAsia="en-US"/>
        </w:rPr>
        <w:t xml:space="preserve">oder der auf der Internetseite von Takeda angegebenen Kontaktadresse </w:t>
      </w:r>
      <w:r w:rsidR="00634C92">
        <w:rPr>
          <w:rFonts w:asciiTheme="minorHAnsi" w:eastAsiaTheme="minorEastAsia" w:hAnsiTheme="minorHAnsi" w:cstheme="minorBidi"/>
          <w:sz w:val="22"/>
          <w:szCs w:val="22"/>
          <w:lang w:val="de-DE" w:eastAsia="en-US"/>
        </w:rPr>
        <w:t>(</w:t>
      </w:r>
      <w:r w:rsidR="009C204E" w:rsidRPr="009C204E">
        <w:rPr>
          <w:rFonts w:asciiTheme="minorHAnsi" w:eastAsiaTheme="minorEastAsia" w:hAnsiTheme="minorHAnsi" w:cstheme="minorBidi"/>
          <w:sz w:val="22"/>
          <w:szCs w:val="22"/>
          <w:lang w:val="de-DE" w:eastAsia="en-US"/>
        </w:rPr>
        <w:t>http://www.takeda.de/transparenz</w:t>
      </w:r>
      <w:r w:rsidR="00634C92">
        <w:rPr>
          <w:rFonts w:asciiTheme="minorHAnsi" w:eastAsiaTheme="minorEastAsia" w:hAnsiTheme="minorHAnsi" w:cstheme="minorBidi"/>
          <w:sz w:val="22"/>
          <w:szCs w:val="22"/>
          <w:lang w:val="de-DE" w:eastAsia="en-US"/>
        </w:rPr>
        <w:t>)</w:t>
      </w:r>
      <w:r w:rsidR="007A2EB0" w:rsidRPr="007A2EB0">
        <w:rPr>
          <w:lang w:val="de-DE"/>
        </w:rPr>
        <w:t xml:space="preserve"> </w:t>
      </w:r>
      <w:r w:rsidR="007A2EB0" w:rsidRPr="007A2EB0">
        <w:rPr>
          <w:rFonts w:asciiTheme="minorHAnsi" w:eastAsiaTheme="minorEastAsia" w:hAnsiTheme="minorHAnsi" w:cstheme="minorBidi"/>
          <w:sz w:val="22"/>
          <w:szCs w:val="22"/>
          <w:lang w:val="de-DE" w:eastAsia="en-US"/>
        </w:rPr>
        <w:t>in Verbindung.</w:t>
      </w:r>
    </w:p>
    <w:p w14:paraId="5F98EF56" w14:textId="13FB604A" w:rsidR="003E299C" w:rsidRPr="001D0A61" w:rsidRDefault="003E299C" w:rsidP="003E299C">
      <w:pPr>
        <w:pStyle w:val="Heading2"/>
        <w:jc w:val="both"/>
        <w:rPr>
          <w:rFonts w:asciiTheme="minorHAnsi" w:hAnsiTheme="minorHAnsi"/>
          <w:lang w:val="de-DE"/>
        </w:rPr>
      </w:pPr>
    </w:p>
    <w:p w14:paraId="5D69FD21" w14:textId="77777777" w:rsidR="003E299C" w:rsidRPr="00C46935" w:rsidRDefault="003E299C" w:rsidP="00C0602C">
      <w:pPr>
        <w:pStyle w:val="NormalWeb"/>
        <w:spacing w:before="0" w:beforeAutospacing="0" w:after="200" w:afterAutospacing="0" w:line="276" w:lineRule="auto"/>
        <w:rPr>
          <w:lang w:val="de-DE"/>
        </w:rPr>
      </w:pPr>
    </w:p>
    <w:bookmarkEnd w:id="44"/>
    <w:bookmarkEnd w:id="52"/>
    <w:p w14:paraId="045CCE9E" w14:textId="77777777" w:rsidR="007A2EB0" w:rsidRPr="007A2EB0" w:rsidRDefault="007A2EB0" w:rsidP="00F4333C">
      <w:pPr>
        <w:pStyle w:val="ListParagraph"/>
        <w:ind w:left="0"/>
        <w:rPr>
          <w:lang w:val="de-DE"/>
        </w:rPr>
      </w:pPr>
    </w:p>
    <w:sectPr w:rsidR="007A2EB0" w:rsidRPr="007A2EB0" w:rsidSect="00317DAB">
      <w:headerReference w:type="default" r:id="rId14"/>
      <w:footerReference w:type="default" r:id="rId15"/>
      <w:pgSz w:w="11900" w:h="16840"/>
      <w:pgMar w:top="1105" w:right="1127" w:bottom="993" w:left="851" w:header="426"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A0B67" w14:textId="77777777" w:rsidR="001C697F" w:rsidRDefault="001C697F" w:rsidP="008F02B9">
      <w:r>
        <w:separator/>
      </w:r>
    </w:p>
  </w:endnote>
  <w:endnote w:type="continuationSeparator" w:id="0">
    <w:p w14:paraId="54ADB32C" w14:textId="77777777" w:rsidR="001C697F" w:rsidRDefault="001C697F" w:rsidP="008F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7D006" w14:textId="2B923F25" w:rsidR="003B6B6F" w:rsidRPr="00C0602C" w:rsidRDefault="003B6B6F" w:rsidP="00A76A0C">
    <w:pPr>
      <w:pStyle w:val="Footer"/>
      <w:pBdr>
        <w:top w:val="single" w:sz="4" w:space="1" w:color="auto"/>
      </w:pBdr>
      <w:rPr>
        <w:sz w:val="20"/>
        <w:szCs w:val="20"/>
      </w:rPr>
    </w:pPr>
    <w:r>
      <w:rPr>
        <w:sz w:val="20"/>
        <w:szCs w:val="20"/>
      </w:rPr>
      <w:t>Seit</w:t>
    </w:r>
    <w:r w:rsidRPr="00C0602C">
      <w:rPr>
        <w:sz w:val="20"/>
        <w:szCs w:val="20"/>
      </w:rPr>
      <w:t xml:space="preserve">e </w:t>
    </w:r>
    <w:r w:rsidRPr="00C0602C">
      <w:rPr>
        <w:sz w:val="20"/>
        <w:szCs w:val="20"/>
      </w:rPr>
      <w:fldChar w:fldCharType="begin"/>
    </w:r>
    <w:r w:rsidRPr="00C0602C">
      <w:rPr>
        <w:sz w:val="20"/>
        <w:szCs w:val="20"/>
      </w:rPr>
      <w:instrText xml:space="preserve"> PAGE   \* MERGEFORMAT </w:instrText>
    </w:r>
    <w:r w:rsidRPr="00C0602C">
      <w:rPr>
        <w:sz w:val="20"/>
        <w:szCs w:val="20"/>
      </w:rPr>
      <w:fldChar w:fldCharType="separate"/>
    </w:r>
    <w:r w:rsidR="009C7769">
      <w:rPr>
        <w:noProof/>
        <w:sz w:val="20"/>
        <w:szCs w:val="20"/>
      </w:rPr>
      <w:t>10</w:t>
    </w:r>
    <w:r w:rsidRPr="00C0602C">
      <w:rPr>
        <w:noProof/>
        <w:sz w:val="20"/>
        <w:szCs w:val="20"/>
      </w:rPr>
      <w:fldChar w:fldCharType="end"/>
    </w:r>
    <w:r w:rsidR="00FB1FAE">
      <w:rPr>
        <w:noProof/>
        <w:sz w:val="20"/>
        <w:szCs w:val="20"/>
      </w:rPr>
      <w:t xml:space="preserve"> von 10</w:t>
    </w:r>
    <w:r w:rsidRPr="00C0602C">
      <w:rPr>
        <w:sz w:val="20"/>
        <w:szCs w:val="20"/>
      </w:rPr>
      <w:t xml:space="preserve"> </w:t>
    </w:r>
  </w:p>
  <w:p w14:paraId="7B4D00D7" w14:textId="6450599D" w:rsidR="003B6B6F" w:rsidRDefault="003B6B6F" w:rsidP="00170718">
    <w:pPr>
      <w:autoSpaceDE w:val="0"/>
      <w:autoSpaceDN w:val="0"/>
      <w:adjustRightInd w:val="0"/>
      <w:jc w:val="center"/>
    </w:pPr>
    <w:r w:rsidRPr="005A58DE">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6DAB2" w14:textId="77777777" w:rsidR="001C697F" w:rsidRDefault="001C697F" w:rsidP="008F02B9">
      <w:r>
        <w:separator/>
      </w:r>
    </w:p>
  </w:footnote>
  <w:footnote w:type="continuationSeparator" w:id="0">
    <w:p w14:paraId="2AF9AACF" w14:textId="77777777" w:rsidR="001C697F" w:rsidRDefault="001C697F" w:rsidP="008F0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74574" w14:textId="79F2CA59" w:rsidR="003B6B6F" w:rsidRPr="00812BD9" w:rsidRDefault="003B6B6F" w:rsidP="00C359FD">
    <w:pPr>
      <w:pStyle w:val="Header"/>
      <w:pBdr>
        <w:bottom w:val="single" w:sz="4" w:space="1" w:color="auto"/>
      </w:pBdr>
      <w:rPr>
        <w:sz w:val="18"/>
        <w:szCs w:val="18"/>
        <w:lang w:val="de-DE"/>
      </w:rPr>
    </w:pPr>
    <w:r w:rsidRPr="009C204E">
      <w:rPr>
        <w:noProof/>
        <w:sz w:val="18"/>
        <w:szCs w:val="18"/>
        <w:lang w:val="de-DE" w:eastAsia="de-DE"/>
      </w:rPr>
      <w:drawing>
        <wp:anchor distT="0" distB="0" distL="114300" distR="114300" simplePos="0" relativeHeight="251659264" behindDoc="1" locked="0" layoutInCell="1" allowOverlap="1" wp14:anchorId="10592464" wp14:editId="7A81527F">
          <wp:simplePos x="0" y="0"/>
          <wp:positionH relativeFrom="column">
            <wp:posOffset>5440680</wp:posOffset>
          </wp:positionH>
          <wp:positionV relativeFrom="paragraph">
            <wp:posOffset>-167310</wp:posOffset>
          </wp:positionV>
          <wp:extent cx="893112" cy="299771"/>
          <wp:effectExtent l="0" t="0" r="254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akeda.svg.png"/>
                  <pic:cNvPicPr/>
                </pic:nvPicPr>
                <pic:blipFill>
                  <a:blip r:embed="rId1">
                    <a:extLst>
                      <a:ext uri="{28A0092B-C50C-407E-A947-70E740481C1C}">
                        <a14:useLocalDpi xmlns:a14="http://schemas.microsoft.com/office/drawing/2010/main" val="0"/>
                      </a:ext>
                    </a:extLst>
                  </a:blip>
                  <a:stretch>
                    <a:fillRect/>
                  </a:stretch>
                </pic:blipFill>
                <pic:spPr>
                  <a:xfrm>
                    <a:off x="0" y="0"/>
                    <a:ext cx="893112" cy="299771"/>
                  </a:xfrm>
                  <a:prstGeom prst="rect">
                    <a:avLst/>
                  </a:prstGeom>
                </pic:spPr>
              </pic:pic>
            </a:graphicData>
          </a:graphic>
          <wp14:sizeRelH relativeFrom="page">
            <wp14:pctWidth>0</wp14:pctWidth>
          </wp14:sizeRelH>
          <wp14:sizeRelV relativeFrom="page">
            <wp14:pctHeight>0</wp14:pctHeight>
          </wp14:sizeRelV>
        </wp:anchor>
      </w:drawing>
    </w:r>
    <w:r w:rsidRPr="009C204E">
      <w:rPr>
        <w:sz w:val="18"/>
        <w:szCs w:val="18"/>
        <w:lang w:val="de-DE"/>
      </w:rPr>
      <w:t>Takeda</w:t>
    </w:r>
    <w:r w:rsidR="00A1671F" w:rsidRPr="009C204E">
      <w:rPr>
        <w:sz w:val="18"/>
        <w:szCs w:val="18"/>
        <w:lang w:val="de-DE"/>
      </w:rPr>
      <w:t xml:space="preserve"> P</w:t>
    </w:r>
    <w:r w:rsidR="00A1671F">
      <w:rPr>
        <w:sz w:val="18"/>
        <w:szCs w:val="18"/>
        <w:lang w:val="de-DE"/>
      </w:rPr>
      <w:t>harma Vertrieb GmbH &amp; Co. KG</w:t>
    </w:r>
    <w:r w:rsidR="009C204E">
      <w:rPr>
        <w:sz w:val="18"/>
        <w:szCs w:val="18"/>
        <w:lang w:val="de-DE"/>
      </w:rPr>
      <w:t xml:space="preserve"> </w:t>
    </w:r>
    <w:r w:rsidRPr="00812BD9">
      <w:rPr>
        <w:sz w:val="18"/>
        <w:szCs w:val="18"/>
        <w:lang w:val="de-DE"/>
      </w:rPr>
      <w:t>- Methodi</w:t>
    </w:r>
    <w:r w:rsidR="00812BD9" w:rsidRPr="00812BD9">
      <w:rPr>
        <w:sz w:val="18"/>
        <w:szCs w:val="18"/>
        <w:lang w:val="de-DE"/>
      </w:rPr>
      <w:t>s</w:t>
    </w:r>
    <w:r w:rsidRPr="00812BD9">
      <w:rPr>
        <w:sz w:val="18"/>
        <w:szCs w:val="18"/>
        <w:lang w:val="de-DE"/>
      </w:rPr>
      <w:t>c</w:t>
    </w:r>
    <w:r w:rsidR="00812BD9" w:rsidRPr="00812BD9">
      <w:rPr>
        <w:sz w:val="18"/>
        <w:szCs w:val="18"/>
        <w:lang w:val="de-DE"/>
      </w:rPr>
      <w:t>he Hinweise</w:t>
    </w:r>
    <w:r w:rsidR="00484803">
      <w:rPr>
        <w:sz w:val="18"/>
        <w:szCs w:val="18"/>
        <w:lang w:val="de-DE"/>
      </w:rPr>
      <w:t xml:space="preserve"> 2016</w:t>
    </w:r>
    <w:r w:rsidRPr="00812BD9">
      <w:rPr>
        <w:sz w:val="18"/>
        <w:szCs w:val="18"/>
        <w:lang w:val="de-DE"/>
      </w:rPr>
      <w:t xml:space="preserve"> (</w:t>
    </w:r>
    <w:r w:rsidR="00812BD9">
      <w:rPr>
        <w:sz w:val="18"/>
        <w:szCs w:val="18"/>
        <w:lang w:val="de-DE"/>
      </w:rPr>
      <w:t>D</w:t>
    </w:r>
    <w:r w:rsidRPr="00812BD9">
      <w:rPr>
        <w:sz w:val="18"/>
        <w:szCs w:val="18"/>
        <w:lang w:val="de-DE"/>
      </w:rPr>
      <w:t>at</w:t>
    </w:r>
    <w:r w:rsidR="00812BD9">
      <w:rPr>
        <w:sz w:val="18"/>
        <w:szCs w:val="18"/>
        <w:lang w:val="de-DE"/>
      </w:rPr>
      <w:t>um der Ausfert</w:t>
    </w:r>
    <w:r w:rsidRPr="00812BD9">
      <w:rPr>
        <w:sz w:val="18"/>
        <w:szCs w:val="18"/>
        <w:lang w:val="de-DE"/>
      </w:rPr>
      <w:t>i</w:t>
    </w:r>
    <w:r w:rsidR="00812BD9">
      <w:rPr>
        <w:sz w:val="18"/>
        <w:szCs w:val="18"/>
        <w:lang w:val="de-DE"/>
      </w:rPr>
      <w:t>g</w:t>
    </w:r>
    <w:r w:rsidRPr="00812BD9">
      <w:rPr>
        <w:sz w:val="18"/>
        <w:szCs w:val="18"/>
        <w:lang w:val="de-DE"/>
      </w:rPr>
      <w:t>u</w:t>
    </w:r>
    <w:r w:rsidR="00812BD9">
      <w:rPr>
        <w:sz w:val="18"/>
        <w:szCs w:val="18"/>
        <w:lang w:val="de-DE"/>
      </w:rPr>
      <w:t>ng</w:t>
    </w:r>
    <w:r w:rsidRPr="00812BD9">
      <w:rPr>
        <w:sz w:val="18"/>
        <w:szCs w:val="18"/>
        <w:lang w:val="de-DE"/>
      </w:rPr>
      <w:t xml:space="preserve">: </w:t>
    </w:r>
    <w:r w:rsidR="00484803">
      <w:rPr>
        <w:sz w:val="18"/>
        <w:szCs w:val="18"/>
        <w:lang w:val="de-DE"/>
      </w:rPr>
      <w:t>15.</w:t>
    </w:r>
    <w:r w:rsidR="009C204E">
      <w:rPr>
        <w:sz w:val="18"/>
        <w:szCs w:val="18"/>
        <w:lang w:val="de-DE"/>
      </w:rPr>
      <w:t>06.</w:t>
    </w:r>
    <w:r w:rsidR="00484803">
      <w:rPr>
        <w:sz w:val="18"/>
        <w:szCs w:val="18"/>
        <w:lang w:val="de-DE"/>
      </w:rPr>
      <w:t>2017</w:t>
    </w:r>
    <w:r w:rsidRPr="00812BD9">
      <w:rPr>
        <w:sz w:val="18"/>
        <w:szCs w:val="18"/>
        <w:lang w:val="de-D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433F6"/>
    <w:multiLevelType w:val="hybridMultilevel"/>
    <w:tmpl w:val="4C303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244B87"/>
    <w:multiLevelType w:val="multilevel"/>
    <w:tmpl w:val="CB5C1A1C"/>
    <w:lvl w:ilvl="0">
      <w:start w:val="1"/>
      <w:numFmt w:val="decimal"/>
      <w:lvlRestart w:val="0"/>
      <w:lvlText w:val="%1"/>
      <w:lvlJc w:val="left"/>
      <w:pPr>
        <w:tabs>
          <w:tab w:val="num" w:pos="936"/>
        </w:tabs>
        <w:ind w:left="936" w:hanging="935"/>
      </w:pPr>
      <w:rPr>
        <w:rFonts w:ascii="Times New Roman" w:hAnsi="Times New Roman" w:cs="Times New Roman" w:hint="default"/>
        <w:b/>
        <w:i w:val="0"/>
        <w:caps w:val="0"/>
        <w:strike w:val="0"/>
        <w:dstrike w:val="0"/>
        <w:vanish w:val="0"/>
        <w:color w:val="auto"/>
        <w:sz w:val="24"/>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19"/>
        </w:tabs>
        <w:ind w:left="1219" w:hanging="935"/>
      </w:pPr>
      <w:rPr>
        <w:rFonts w:ascii="Times New Roman" w:hAnsi="Times New Roman" w:cs="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35"/>
        </w:tabs>
        <w:ind w:left="935" w:hanging="935"/>
      </w:pPr>
      <w:rPr>
        <w:rFonts w:ascii="Times New Roman" w:hAnsi="Times New Roman" w:cs="Times New Roman" w:hint="default"/>
        <w:b/>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936"/>
        </w:tabs>
        <w:ind w:left="936" w:hanging="935"/>
      </w:pPr>
      <w:rPr>
        <w:rFonts w:ascii="Times New Roman" w:hAnsi="Times New Roman" w:cs="Times New Roman"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389"/>
        </w:tabs>
        <w:ind w:left="1389" w:hanging="453"/>
      </w:pPr>
      <w:rPr>
        <w:rFonts w:ascii="Times New Roman" w:hAnsi="Times New Roman"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1843"/>
        </w:tabs>
        <w:ind w:left="1843" w:hanging="454"/>
      </w:pPr>
      <w:rPr>
        <w:rFonts w:ascii="Times New Roman" w:hAnsi="Times New Roman"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3811"/>
        </w:tabs>
        <w:ind w:left="3811" w:hanging="385"/>
      </w:pPr>
      <w:rPr>
        <w:rFonts w:ascii="Times New Roman" w:hAnsi="Times New Roman"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4772"/>
        </w:tabs>
        <w:ind w:left="4772" w:hanging="363"/>
      </w:pPr>
      <w:rPr>
        <w:rFonts w:hint="default"/>
      </w:rPr>
    </w:lvl>
    <w:lvl w:ilvl="8">
      <w:start w:val="1"/>
      <w:numFmt w:val="lowerRoman"/>
      <w:lvlText w:val="%9."/>
      <w:lvlJc w:val="left"/>
      <w:pPr>
        <w:tabs>
          <w:tab w:val="num" w:pos="1066"/>
        </w:tabs>
        <w:ind w:left="1066" w:hanging="357"/>
      </w:pPr>
      <w:rPr>
        <w:rFonts w:hint="default"/>
      </w:rPr>
    </w:lvl>
  </w:abstractNum>
  <w:abstractNum w:abstractNumId="3">
    <w:nsid w:val="032D7337"/>
    <w:multiLevelType w:val="hybridMultilevel"/>
    <w:tmpl w:val="FE70C334"/>
    <w:lvl w:ilvl="0" w:tplc="AB824A68">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131FD4"/>
    <w:multiLevelType w:val="hybridMultilevel"/>
    <w:tmpl w:val="D5108630"/>
    <w:lvl w:ilvl="0" w:tplc="9BEC4442">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F0845"/>
    <w:multiLevelType w:val="multilevel"/>
    <w:tmpl w:val="0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804C31"/>
    <w:multiLevelType w:val="hybridMultilevel"/>
    <w:tmpl w:val="C588A036"/>
    <w:lvl w:ilvl="0" w:tplc="0E925FA6">
      <w:start w:val="1"/>
      <w:numFmt w:val="lowerRoman"/>
      <w:lvlText w:val="%1."/>
      <w:lvlJc w:val="left"/>
      <w:pPr>
        <w:ind w:left="934" w:hanging="360"/>
      </w:pPr>
      <w:rPr>
        <w:rFonts w:hint="default"/>
        <w:color w:val="000000" w:themeColor="text1"/>
      </w:rPr>
    </w:lvl>
    <w:lvl w:ilvl="1" w:tplc="080C0019" w:tentative="1">
      <w:start w:val="1"/>
      <w:numFmt w:val="lowerLetter"/>
      <w:lvlText w:val="%2."/>
      <w:lvlJc w:val="left"/>
      <w:pPr>
        <w:ind w:left="1654" w:hanging="360"/>
      </w:pPr>
    </w:lvl>
    <w:lvl w:ilvl="2" w:tplc="080C001B" w:tentative="1">
      <w:start w:val="1"/>
      <w:numFmt w:val="lowerRoman"/>
      <w:lvlText w:val="%3."/>
      <w:lvlJc w:val="right"/>
      <w:pPr>
        <w:ind w:left="2374" w:hanging="180"/>
      </w:pPr>
    </w:lvl>
    <w:lvl w:ilvl="3" w:tplc="080C000F" w:tentative="1">
      <w:start w:val="1"/>
      <w:numFmt w:val="decimal"/>
      <w:lvlText w:val="%4."/>
      <w:lvlJc w:val="left"/>
      <w:pPr>
        <w:ind w:left="3094" w:hanging="360"/>
      </w:pPr>
    </w:lvl>
    <w:lvl w:ilvl="4" w:tplc="080C0019" w:tentative="1">
      <w:start w:val="1"/>
      <w:numFmt w:val="lowerLetter"/>
      <w:lvlText w:val="%5."/>
      <w:lvlJc w:val="left"/>
      <w:pPr>
        <w:ind w:left="3814" w:hanging="360"/>
      </w:pPr>
    </w:lvl>
    <w:lvl w:ilvl="5" w:tplc="080C001B" w:tentative="1">
      <w:start w:val="1"/>
      <w:numFmt w:val="lowerRoman"/>
      <w:lvlText w:val="%6."/>
      <w:lvlJc w:val="right"/>
      <w:pPr>
        <w:ind w:left="4534" w:hanging="180"/>
      </w:pPr>
    </w:lvl>
    <w:lvl w:ilvl="6" w:tplc="080C000F" w:tentative="1">
      <w:start w:val="1"/>
      <w:numFmt w:val="decimal"/>
      <w:lvlText w:val="%7."/>
      <w:lvlJc w:val="left"/>
      <w:pPr>
        <w:ind w:left="5254" w:hanging="360"/>
      </w:pPr>
    </w:lvl>
    <w:lvl w:ilvl="7" w:tplc="080C0019" w:tentative="1">
      <w:start w:val="1"/>
      <w:numFmt w:val="lowerLetter"/>
      <w:lvlText w:val="%8."/>
      <w:lvlJc w:val="left"/>
      <w:pPr>
        <w:ind w:left="5974" w:hanging="360"/>
      </w:pPr>
    </w:lvl>
    <w:lvl w:ilvl="8" w:tplc="080C001B" w:tentative="1">
      <w:start w:val="1"/>
      <w:numFmt w:val="lowerRoman"/>
      <w:lvlText w:val="%9."/>
      <w:lvlJc w:val="right"/>
      <w:pPr>
        <w:ind w:left="6694" w:hanging="180"/>
      </w:pPr>
    </w:lvl>
  </w:abstractNum>
  <w:abstractNum w:abstractNumId="7">
    <w:nsid w:val="118C4D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34563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3985E4C"/>
    <w:multiLevelType w:val="hybridMultilevel"/>
    <w:tmpl w:val="CD58328E"/>
    <w:lvl w:ilvl="0" w:tplc="FE3AC2C8">
      <w:start w:val="1"/>
      <w:numFmt w:val="lowerRoman"/>
      <w:lvlText w:val="%1."/>
      <w:lvlJc w:val="left"/>
      <w:pPr>
        <w:ind w:left="720" w:hanging="360"/>
      </w:pPr>
      <w:rPr>
        <w:rFonts w:hint="default"/>
      </w:rPr>
    </w:lvl>
    <w:lvl w:ilvl="1" w:tplc="DC9E2A80">
      <w:start w:val="1"/>
      <w:numFmt w:val="lowerLetter"/>
      <w:lvlText w:val="%2."/>
      <w:lvlJc w:val="left"/>
      <w:pPr>
        <w:ind w:left="1440" w:hanging="360"/>
      </w:pPr>
      <w:rPr>
        <w:lang w:val="de-DE"/>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4D85830"/>
    <w:multiLevelType w:val="hybridMultilevel"/>
    <w:tmpl w:val="E96C6640"/>
    <w:lvl w:ilvl="0" w:tplc="1EEEE440">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910D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5CB4695"/>
    <w:multiLevelType w:val="hybridMultilevel"/>
    <w:tmpl w:val="C588A036"/>
    <w:lvl w:ilvl="0" w:tplc="0E925FA6">
      <w:start w:val="1"/>
      <w:numFmt w:val="lowerRoman"/>
      <w:lvlText w:val="%1."/>
      <w:lvlJc w:val="left"/>
      <w:pPr>
        <w:ind w:left="934" w:hanging="360"/>
      </w:pPr>
      <w:rPr>
        <w:rFonts w:hint="default"/>
        <w:color w:val="000000" w:themeColor="text1"/>
      </w:rPr>
    </w:lvl>
    <w:lvl w:ilvl="1" w:tplc="080C0019" w:tentative="1">
      <w:start w:val="1"/>
      <w:numFmt w:val="lowerLetter"/>
      <w:lvlText w:val="%2."/>
      <w:lvlJc w:val="left"/>
      <w:pPr>
        <w:ind w:left="1654" w:hanging="360"/>
      </w:pPr>
    </w:lvl>
    <w:lvl w:ilvl="2" w:tplc="080C001B" w:tentative="1">
      <w:start w:val="1"/>
      <w:numFmt w:val="lowerRoman"/>
      <w:lvlText w:val="%3."/>
      <w:lvlJc w:val="right"/>
      <w:pPr>
        <w:ind w:left="2374" w:hanging="180"/>
      </w:pPr>
    </w:lvl>
    <w:lvl w:ilvl="3" w:tplc="080C000F" w:tentative="1">
      <w:start w:val="1"/>
      <w:numFmt w:val="decimal"/>
      <w:lvlText w:val="%4."/>
      <w:lvlJc w:val="left"/>
      <w:pPr>
        <w:ind w:left="3094" w:hanging="360"/>
      </w:pPr>
    </w:lvl>
    <w:lvl w:ilvl="4" w:tplc="080C0019" w:tentative="1">
      <w:start w:val="1"/>
      <w:numFmt w:val="lowerLetter"/>
      <w:lvlText w:val="%5."/>
      <w:lvlJc w:val="left"/>
      <w:pPr>
        <w:ind w:left="3814" w:hanging="360"/>
      </w:pPr>
    </w:lvl>
    <w:lvl w:ilvl="5" w:tplc="080C001B" w:tentative="1">
      <w:start w:val="1"/>
      <w:numFmt w:val="lowerRoman"/>
      <w:lvlText w:val="%6."/>
      <w:lvlJc w:val="right"/>
      <w:pPr>
        <w:ind w:left="4534" w:hanging="180"/>
      </w:pPr>
    </w:lvl>
    <w:lvl w:ilvl="6" w:tplc="080C000F" w:tentative="1">
      <w:start w:val="1"/>
      <w:numFmt w:val="decimal"/>
      <w:lvlText w:val="%7."/>
      <w:lvlJc w:val="left"/>
      <w:pPr>
        <w:ind w:left="5254" w:hanging="360"/>
      </w:pPr>
    </w:lvl>
    <w:lvl w:ilvl="7" w:tplc="080C0019" w:tentative="1">
      <w:start w:val="1"/>
      <w:numFmt w:val="lowerLetter"/>
      <w:lvlText w:val="%8."/>
      <w:lvlJc w:val="left"/>
      <w:pPr>
        <w:ind w:left="5974" w:hanging="360"/>
      </w:pPr>
    </w:lvl>
    <w:lvl w:ilvl="8" w:tplc="080C001B" w:tentative="1">
      <w:start w:val="1"/>
      <w:numFmt w:val="lowerRoman"/>
      <w:lvlText w:val="%9."/>
      <w:lvlJc w:val="right"/>
      <w:pPr>
        <w:ind w:left="6694" w:hanging="180"/>
      </w:pPr>
    </w:lvl>
  </w:abstractNum>
  <w:abstractNum w:abstractNumId="13">
    <w:nsid w:val="1BF71348"/>
    <w:multiLevelType w:val="hybridMultilevel"/>
    <w:tmpl w:val="BED6A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8C30BC"/>
    <w:multiLevelType w:val="multilevel"/>
    <w:tmpl w:val="A97A51FC"/>
    <w:lvl w:ilvl="0">
      <w:start w:val="4"/>
      <w:numFmt w:val="decimal"/>
      <w:lvlText w:val="%1"/>
      <w:lvlJc w:val="left"/>
      <w:pPr>
        <w:ind w:left="360" w:hanging="36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5">
    <w:nsid w:val="23A63DB8"/>
    <w:multiLevelType w:val="hybridMultilevel"/>
    <w:tmpl w:val="FF1440FE"/>
    <w:lvl w:ilvl="0" w:tplc="DC9E2A80">
      <w:start w:val="1"/>
      <w:numFmt w:val="lowerLetter"/>
      <w:lvlText w:val="%1."/>
      <w:lvlJc w:val="left"/>
      <w:pPr>
        <w:ind w:left="1440" w:hanging="360"/>
      </w:pPr>
      <w:rPr>
        <w:lang w:val="de-D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6832F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85B575C"/>
    <w:multiLevelType w:val="hybridMultilevel"/>
    <w:tmpl w:val="7C8EB34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28987AAC"/>
    <w:multiLevelType w:val="hybridMultilevel"/>
    <w:tmpl w:val="F666419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2A1405FD"/>
    <w:multiLevelType w:val="hybridMultilevel"/>
    <w:tmpl w:val="F7E25DF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F8E283E"/>
    <w:multiLevelType w:val="hybridMultilevel"/>
    <w:tmpl w:val="12583B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0EE5142"/>
    <w:multiLevelType w:val="multilevel"/>
    <w:tmpl w:val="F06A9436"/>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072" w:hanging="504"/>
      </w:pPr>
      <w:rPr>
        <w:rFonts w:asciiTheme="minorHAnsi" w:hAnsiTheme="minorHAnsi" w:hint="default"/>
        <w:b/>
        <w:lang w:val="de-D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2034A5E"/>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3">
    <w:nsid w:val="38374499"/>
    <w:multiLevelType w:val="hybridMultilevel"/>
    <w:tmpl w:val="E1D40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64678A"/>
    <w:multiLevelType w:val="hybridMultilevel"/>
    <w:tmpl w:val="C588A036"/>
    <w:lvl w:ilvl="0" w:tplc="0E925FA6">
      <w:start w:val="1"/>
      <w:numFmt w:val="lowerRoman"/>
      <w:lvlText w:val="%1."/>
      <w:lvlJc w:val="left"/>
      <w:pPr>
        <w:ind w:left="934" w:hanging="360"/>
      </w:pPr>
      <w:rPr>
        <w:rFonts w:hint="default"/>
        <w:color w:val="000000" w:themeColor="text1"/>
      </w:rPr>
    </w:lvl>
    <w:lvl w:ilvl="1" w:tplc="080C0019" w:tentative="1">
      <w:start w:val="1"/>
      <w:numFmt w:val="lowerLetter"/>
      <w:lvlText w:val="%2."/>
      <w:lvlJc w:val="left"/>
      <w:pPr>
        <w:ind w:left="1654" w:hanging="360"/>
      </w:pPr>
    </w:lvl>
    <w:lvl w:ilvl="2" w:tplc="080C001B" w:tentative="1">
      <w:start w:val="1"/>
      <w:numFmt w:val="lowerRoman"/>
      <w:lvlText w:val="%3."/>
      <w:lvlJc w:val="right"/>
      <w:pPr>
        <w:ind w:left="2374" w:hanging="180"/>
      </w:pPr>
    </w:lvl>
    <w:lvl w:ilvl="3" w:tplc="080C000F" w:tentative="1">
      <w:start w:val="1"/>
      <w:numFmt w:val="decimal"/>
      <w:lvlText w:val="%4."/>
      <w:lvlJc w:val="left"/>
      <w:pPr>
        <w:ind w:left="3094" w:hanging="360"/>
      </w:pPr>
    </w:lvl>
    <w:lvl w:ilvl="4" w:tplc="080C0019" w:tentative="1">
      <w:start w:val="1"/>
      <w:numFmt w:val="lowerLetter"/>
      <w:lvlText w:val="%5."/>
      <w:lvlJc w:val="left"/>
      <w:pPr>
        <w:ind w:left="3814" w:hanging="360"/>
      </w:pPr>
    </w:lvl>
    <w:lvl w:ilvl="5" w:tplc="080C001B" w:tentative="1">
      <w:start w:val="1"/>
      <w:numFmt w:val="lowerRoman"/>
      <w:lvlText w:val="%6."/>
      <w:lvlJc w:val="right"/>
      <w:pPr>
        <w:ind w:left="4534" w:hanging="180"/>
      </w:pPr>
    </w:lvl>
    <w:lvl w:ilvl="6" w:tplc="080C000F" w:tentative="1">
      <w:start w:val="1"/>
      <w:numFmt w:val="decimal"/>
      <w:lvlText w:val="%7."/>
      <w:lvlJc w:val="left"/>
      <w:pPr>
        <w:ind w:left="5254" w:hanging="360"/>
      </w:pPr>
    </w:lvl>
    <w:lvl w:ilvl="7" w:tplc="080C0019" w:tentative="1">
      <w:start w:val="1"/>
      <w:numFmt w:val="lowerLetter"/>
      <w:lvlText w:val="%8."/>
      <w:lvlJc w:val="left"/>
      <w:pPr>
        <w:ind w:left="5974" w:hanging="360"/>
      </w:pPr>
    </w:lvl>
    <w:lvl w:ilvl="8" w:tplc="080C001B" w:tentative="1">
      <w:start w:val="1"/>
      <w:numFmt w:val="lowerRoman"/>
      <w:lvlText w:val="%9."/>
      <w:lvlJc w:val="right"/>
      <w:pPr>
        <w:ind w:left="6694" w:hanging="180"/>
      </w:pPr>
    </w:lvl>
  </w:abstractNum>
  <w:abstractNum w:abstractNumId="25">
    <w:nsid w:val="39664A5A"/>
    <w:multiLevelType w:val="hybridMultilevel"/>
    <w:tmpl w:val="20908556"/>
    <w:lvl w:ilvl="0" w:tplc="04100013">
      <w:start w:val="1"/>
      <w:numFmt w:val="upperRoman"/>
      <w:lvlText w:val="%1."/>
      <w:lvlJc w:val="righ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A4951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D440F04"/>
    <w:multiLevelType w:val="hybridMultilevel"/>
    <w:tmpl w:val="5A886DBE"/>
    <w:lvl w:ilvl="0" w:tplc="C71AB424">
      <w:numFmt w:val="bullet"/>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FA31D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B360D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D492AA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nsid w:val="4F2160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08076D1"/>
    <w:multiLevelType w:val="hybridMultilevel"/>
    <w:tmpl w:val="235CC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CE0F34"/>
    <w:multiLevelType w:val="hybridMultilevel"/>
    <w:tmpl w:val="0EC4D138"/>
    <w:lvl w:ilvl="0" w:tplc="1EEEE440">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DB0791"/>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5">
    <w:nsid w:val="5C9210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D060A07"/>
    <w:multiLevelType w:val="multilevel"/>
    <w:tmpl w:val="AD40DBBE"/>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DA955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FE21ACD"/>
    <w:multiLevelType w:val="hybridMultilevel"/>
    <w:tmpl w:val="C68E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524CFB"/>
    <w:multiLevelType w:val="multilevel"/>
    <w:tmpl w:val="2176EE90"/>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072" w:hanging="504"/>
      </w:pPr>
      <w:rPr>
        <w:lang w:val="de-D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19904F9"/>
    <w:multiLevelType w:val="hybridMultilevel"/>
    <w:tmpl w:val="F6E68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2DC5C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3197D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8EC7FF4"/>
    <w:multiLevelType w:val="hybridMultilevel"/>
    <w:tmpl w:val="19EA7832"/>
    <w:lvl w:ilvl="0" w:tplc="BCA6E142">
      <w:start w:val="1"/>
      <w:numFmt w:val="bullet"/>
      <w:lvlText w:val="-"/>
      <w:lvlJc w:val="left"/>
      <w:pPr>
        <w:ind w:left="720" w:hanging="360"/>
      </w:pPr>
      <w:rPr>
        <w:rFonts w:ascii="Cambria" w:hAnsi="Cambri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F37102"/>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5">
    <w:nsid w:val="692B6320"/>
    <w:multiLevelType w:val="hybridMultilevel"/>
    <w:tmpl w:val="16C013E8"/>
    <w:lvl w:ilvl="0" w:tplc="8B5A939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6">
    <w:nsid w:val="6BAE34EA"/>
    <w:multiLevelType w:val="multilevel"/>
    <w:tmpl w:val="56C2E11C"/>
    <w:lvl w:ilvl="0">
      <w:start w:val="4"/>
      <w:numFmt w:val="decimal"/>
      <w:lvlText w:val="%1"/>
      <w:lvlJc w:val="left"/>
      <w:pPr>
        <w:ind w:left="450" w:hanging="450"/>
      </w:pPr>
      <w:rPr>
        <w:rFonts w:hint="default"/>
      </w:rPr>
    </w:lvl>
    <w:lvl w:ilvl="1">
      <w:start w:val="2"/>
      <w:numFmt w:val="decimal"/>
      <w:lvlText w:val="%1.%2"/>
      <w:lvlJc w:val="left"/>
      <w:pPr>
        <w:ind w:left="521" w:hanging="45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7">
    <w:nsid w:val="6DA22E35"/>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48">
    <w:nsid w:val="6DBA585B"/>
    <w:multiLevelType w:val="hybridMultilevel"/>
    <w:tmpl w:val="B9822A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6DDC6E1A"/>
    <w:multiLevelType w:val="hybridMultilevel"/>
    <w:tmpl w:val="CD58328E"/>
    <w:lvl w:ilvl="0" w:tplc="FE3AC2C8">
      <w:start w:val="1"/>
      <w:numFmt w:val="lowerRoman"/>
      <w:lvlText w:val="%1."/>
      <w:lvlJc w:val="left"/>
      <w:pPr>
        <w:ind w:left="720" w:hanging="360"/>
      </w:pPr>
      <w:rPr>
        <w:rFonts w:hint="default"/>
      </w:rPr>
    </w:lvl>
    <w:lvl w:ilvl="1" w:tplc="DC9E2A80">
      <w:start w:val="1"/>
      <w:numFmt w:val="lowerLetter"/>
      <w:lvlText w:val="%2."/>
      <w:lvlJc w:val="left"/>
      <w:pPr>
        <w:ind w:left="1440" w:hanging="360"/>
      </w:pPr>
      <w:rPr>
        <w:lang w:val="de-DE"/>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6E15771A"/>
    <w:multiLevelType w:val="multilevel"/>
    <w:tmpl w:val="C046EE42"/>
    <w:lvl w:ilvl="0">
      <w:start w:val="2"/>
      <w:numFmt w:val="decimal"/>
      <w:lvlText w:val="%1"/>
      <w:lvlJc w:val="left"/>
      <w:pPr>
        <w:ind w:left="360" w:hanging="360"/>
      </w:pPr>
      <w:rPr>
        <w:rFonts w:hint="default"/>
      </w:rPr>
    </w:lvl>
    <w:lvl w:ilvl="1">
      <w:start w:val="3"/>
      <w:numFmt w:val="decimal"/>
      <w:lvlText w:val="%1.%2"/>
      <w:lvlJc w:val="left"/>
      <w:pPr>
        <w:ind w:left="1294" w:hanging="72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802" w:hanging="108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4310" w:hanging="1440"/>
      </w:pPr>
      <w:rPr>
        <w:rFonts w:hint="default"/>
      </w:rPr>
    </w:lvl>
    <w:lvl w:ilvl="6">
      <w:start w:val="1"/>
      <w:numFmt w:val="decimal"/>
      <w:lvlText w:val="%1.%2.%3.%4.%5.%6.%7"/>
      <w:lvlJc w:val="left"/>
      <w:pPr>
        <w:ind w:left="5244" w:hanging="1800"/>
      </w:pPr>
      <w:rPr>
        <w:rFonts w:hint="default"/>
      </w:rPr>
    </w:lvl>
    <w:lvl w:ilvl="7">
      <w:start w:val="1"/>
      <w:numFmt w:val="decimal"/>
      <w:lvlText w:val="%1.%2.%3.%4.%5.%6.%7.%8"/>
      <w:lvlJc w:val="left"/>
      <w:pPr>
        <w:ind w:left="5818" w:hanging="1800"/>
      </w:pPr>
      <w:rPr>
        <w:rFonts w:hint="default"/>
      </w:rPr>
    </w:lvl>
    <w:lvl w:ilvl="8">
      <w:start w:val="1"/>
      <w:numFmt w:val="decimal"/>
      <w:lvlText w:val="%1.%2.%3.%4.%5.%6.%7.%8.%9"/>
      <w:lvlJc w:val="left"/>
      <w:pPr>
        <w:ind w:left="6752" w:hanging="2160"/>
      </w:pPr>
      <w:rPr>
        <w:rFonts w:hint="default"/>
      </w:rPr>
    </w:lvl>
  </w:abstractNum>
  <w:abstractNum w:abstractNumId="51">
    <w:nsid w:val="73C34E8B"/>
    <w:multiLevelType w:val="multilevel"/>
    <w:tmpl w:val="DC902538"/>
    <w:lvl w:ilvl="0">
      <w:start w:val="2"/>
      <w:numFmt w:val="decimal"/>
      <w:lvlText w:val="%1"/>
      <w:lvlJc w:val="left"/>
      <w:pPr>
        <w:ind w:left="525" w:hanging="525"/>
      </w:pPr>
      <w:rPr>
        <w:rFonts w:hint="default"/>
      </w:rPr>
    </w:lvl>
    <w:lvl w:ilvl="1">
      <w:start w:val="3"/>
      <w:numFmt w:val="decimal"/>
      <w:lvlText w:val="%1.%2"/>
      <w:lvlJc w:val="left"/>
      <w:pPr>
        <w:ind w:left="596" w:hanging="52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52">
    <w:nsid w:val="79DC47AE"/>
    <w:multiLevelType w:val="hybridMultilevel"/>
    <w:tmpl w:val="5D34F68E"/>
    <w:lvl w:ilvl="0" w:tplc="BCA6E142">
      <w:start w:val="1"/>
      <w:numFmt w:val="bullet"/>
      <w:lvlText w:val="-"/>
      <w:lvlJc w:val="left"/>
      <w:pPr>
        <w:ind w:left="720" w:hanging="360"/>
      </w:pPr>
      <w:rPr>
        <w:rFonts w:ascii="Cambria" w:hAnsi="Cambri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D60298B"/>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4">
    <w:nsid w:val="7EB83172"/>
    <w:multiLevelType w:val="hybridMultilevel"/>
    <w:tmpl w:val="2182C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38"/>
  </w:num>
  <w:num w:numId="3">
    <w:abstractNumId w:val="43"/>
  </w:num>
  <w:num w:numId="4">
    <w:abstractNumId w:val="0"/>
  </w:num>
  <w:num w:numId="5">
    <w:abstractNumId w:val="21"/>
  </w:num>
  <w:num w:numId="6">
    <w:abstractNumId w:val="44"/>
  </w:num>
  <w:num w:numId="7">
    <w:abstractNumId w:val="42"/>
  </w:num>
  <w:num w:numId="8">
    <w:abstractNumId w:val="33"/>
  </w:num>
  <w:num w:numId="9">
    <w:abstractNumId w:val="54"/>
  </w:num>
  <w:num w:numId="10">
    <w:abstractNumId w:val="8"/>
  </w:num>
  <w:num w:numId="11">
    <w:abstractNumId w:val="47"/>
  </w:num>
  <w:num w:numId="12">
    <w:abstractNumId w:val="34"/>
  </w:num>
  <w:num w:numId="13">
    <w:abstractNumId w:val="11"/>
  </w:num>
  <w:num w:numId="14">
    <w:abstractNumId w:val="41"/>
  </w:num>
  <w:num w:numId="15">
    <w:abstractNumId w:val="30"/>
  </w:num>
  <w:num w:numId="16">
    <w:abstractNumId w:val="22"/>
  </w:num>
  <w:num w:numId="17">
    <w:abstractNumId w:val="26"/>
  </w:num>
  <w:num w:numId="18">
    <w:abstractNumId w:val="31"/>
  </w:num>
  <w:num w:numId="19">
    <w:abstractNumId w:val="37"/>
  </w:num>
  <w:num w:numId="20">
    <w:abstractNumId w:val="35"/>
  </w:num>
  <w:num w:numId="21">
    <w:abstractNumId w:val="7"/>
  </w:num>
  <w:num w:numId="22">
    <w:abstractNumId w:val="23"/>
  </w:num>
  <w:num w:numId="23">
    <w:abstractNumId w:val="32"/>
  </w:num>
  <w:num w:numId="24">
    <w:abstractNumId w:val="2"/>
  </w:num>
  <w:num w:numId="25">
    <w:abstractNumId w:val="3"/>
  </w:num>
  <w:num w:numId="26">
    <w:abstractNumId w:val="10"/>
  </w:num>
  <w:num w:numId="27">
    <w:abstractNumId w:val="4"/>
  </w:num>
  <w:num w:numId="28">
    <w:abstractNumId w:val="53"/>
  </w:num>
  <w:num w:numId="29">
    <w:abstractNumId w:val="16"/>
  </w:num>
  <w:num w:numId="30">
    <w:abstractNumId w:val="27"/>
  </w:num>
  <w:num w:numId="31">
    <w:abstractNumId w:val="28"/>
  </w:num>
  <w:num w:numId="32">
    <w:abstractNumId w:val="40"/>
  </w:num>
  <w:num w:numId="33">
    <w:abstractNumId w:val="13"/>
  </w:num>
  <w:num w:numId="34">
    <w:abstractNumId w:val="29"/>
  </w:num>
  <w:num w:numId="35">
    <w:abstractNumId w:val="20"/>
  </w:num>
  <w:num w:numId="36">
    <w:abstractNumId w:val="17"/>
  </w:num>
  <w:num w:numId="37">
    <w:abstractNumId w:val="18"/>
  </w:num>
  <w:num w:numId="38">
    <w:abstractNumId w:val="19"/>
  </w:num>
  <w:num w:numId="39">
    <w:abstractNumId w:val="1"/>
  </w:num>
  <w:num w:numId="40">
    <w:abstractNumId w:val="12"/>
  </w:num>
  <w:num w:numId="41">
    <w:abstractNumId w:val="45"/>
  </w:num>
  <w:num w:numId="42">
    <w:abstractNumId w:val="24"/>
  </w:num>
  <w:num w:numId="43">
    <w:abstractNumId w:val="5"/>
  </w:num>
  <w:num w:numId="44">
    <w:abstractNumId w:val="14"/>
  </w:num>
  <w:num w:numId="45">
    <w:abstractNumId w:val="51"/>
  </w:num>
  <w:num w:numId="46">
    <w:abstractNumId w:val="25"/>
  </w:num>
  <w:num w:numId="47">
    <w:abstractNumId w:val="9"/>
  </w:num>
  <w:num w:numId="48">
    <w:abstractNumId w:val="46"/>
  </w:num>
  <w:num w:numId="49">
    <w:abstractNumId w:val="50"/>
  </w:num>
  <w:num w:numId="50">
    <w:abstractNumId w:val="36"/>
  </w:num>
  <w:num w:numId="51">
    <w:abstractNumId w:val="48"/>
  </w:num>
  <w:num w:numId="52">
    <w:abstractNumId w:val="39"/>
  </w:num>
  <w:num w:numId="53">
    <w:abstractNumId w:val="49"/>
  </w:num>
  <w:num w:numId="54">
    <w:abstractNumId w:val="15"/>
  </w:num>
  <w:num w:numId="55">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ACA"/>
    <w:rsid w:val="000014C6"/>
    <w:rsid w:val="000065F6"/>
    <w:rsid w:val="00011C0D"/>
    <w:rsid w:val="00022E03"/>
    <w:rsid w:val="00044C3D"/>
    <w:rsid w:val="00045740"/>
    <w:rsid w:val="00047F20"/>
    <w:rsid w:val="00051FED"/>
    <w:rsid w:val="00064B0D"/>
    <w:rsid w:val="00064DDE"/>
    <w:rsid w:val="00067B68"/>
    <w:rsid w:val="0007080E"/>
    <w:rsid w:val="000741A1"/>
    <w:rsid w:val="00077F62"/>
    <w:rsid w:val="00085EF3"/>
    <w:rsid w:val="000935D7"/>
    <w:rsid w:val="000A1A46"/>
    <w:rsid w:val="000A297B"/>
    <w:rsid w:val="000A6331"/>
    <w:rsid w:val="000A6E19"/>
    <w:rsid w:val="000C3D81"/>
    <w:rsid w:val="000C50B0"/>
    <w:rsid w:val="000C7E72"/>
    <w:rsid w:val="000D228E"/>
    <w:rsid w:val="000E3209"/>
    <w:rsid w:val="000F0816"/>
    <w:rsid w:val="00102270"/>
    <w:rsid w:val="00102CDE"/>
    <w:rsid w:val="00102F74"/>
    <w:rsid w:val="00105143"/>
    <w:rsid w:val="00110576"/>
    <w:rsid w:val="0011285E"/>
    <w:rsid w:val="00117D4E"/>
    <w:rsid w:val="00124483"/>
    <w:rsid w:val="00132A8C"/>
    <w:rsid w:val="00136E84"/>
    <w:rsid w:val="001438EF"/>
    <w:rsid w:val="00143F4E"/>
    <w:rsid w:val="00147BF2"/>
    <w:rsid w:val="00151DF4"/>
    <w:rsid w:val="001522C0"/>
    <w:rsid w:val="00153632"/>
    <w:rsid w:val="00170718"/>
    <w:rsid w:val="00171789"/>
    <w:rsid w:val="0018351A"/>
    <w:rsid w:val="001866E5"/>
    <w:rsid w:val="00191E44"/>
    <w:rsid w:val="0019615B"/>
    <w:rsid w:val="001A26C8"/>
    <w:rsid w:val="001A7789"/>
    <w:rsid w:val="001B0892"/>
    <w:rsid w:val="001C3A4A"/>
    <w:rsid w:val="001C697F"/>
    <w:rsid w:val="001D0A61"/>
    <w:rsid w:val="001D5083"/>
    <w:rsid w:val="001E1973"/>
    <w:rsid w:val="001F274A"/>
    <w:rsid w:val="001F4D75"/>
    <w:rsid w:val="002007B5"/>
    <w:rsid w:val="00206144"/>
    <w:rsid w:val="002067D7"/>
    <w:rsid w:val="002068EA"/>
    <w:rsid w:val="002074DC"/>
    <w:rsid w:val="002158E2"/>
    <w:rsid w:val="002218A3"/>
    <w:rsid w:val="00222C72"/>
    <w:rsid w:val="00223890"/>
    <w:rsid w:val="00230120"/>
    <w:rsid w:val="00235B57"/>
    <w:rsid w:val="00241C80"/>
    <w:rsid w:val="00244BDA"/>
    <w:rsid w:val="002537AA"/>
    <w:rsid w:val="00256367"/>
    <w:rsid w:val="0025752E"/>
    <w:rsid w:val="002701EE"/>
    <w:rsid w:val="002720A6"/>
    <w:rsid w:val="00274F9B"/>
    <w:rsid w:val="00281796"/>
    <w:rsid w:val="00283FCA"/>
    <w:rsid w:val="00286618"/>
    <w:rsid w:val="002A03F0"/>
    <w:rsid w:val="002A2581"/>
    <w:rsid w:val="002A4ADF"/>
    <w:rsid w:val="002B3EF4"/>
    <w:rsid w:val="002B57FC"/>
    <w:rsid w:val="002C2884"/>
    <w:rsid w:val="002C46D1"/>
    <w:rsid w:val="002C5316"/>
    <w:rsid w:val="002D3E93"/>
    <w:rsid w:val="002D4FBA"/>
    <w:rsid w:val="002D5282"/>
    <w:rsid w:val="002D65D0"/>
    <w:rsid w:val="002D764A"/>
    <w:rsid w:val="002E1229"/>
    <w:rsid w:val="002F3B6F"/>
    <w:rsid w:val="00317DAB"/>
    <w:rsid w:val="0032249E"/>
    <w:rsid w:val="003248AF"/>
    <w:rsid w:val="00330D4F"/>
    <w:rsid w:val="0035220F"/>
    <w:rsid w:val="0035332F"/>
    <w:rsid w:val="00356043"/>
    <w:rsid w:val="00356A97"/>
    <w:rsid w:val="00357B3E"/>
    <w:rsid w:val="00361623"/>
    <w:rsid w:val="00362C42"/>
    <w:rsid w:val="00362E37"/>
    <w:rsid w:val="003645D2"/>
    <w:rsid w:val="00380D8E"/>
    <w:rsid w:val="0038287C"/>
    <w:rsid w:val="00385958"/>
    <w:rsid w:val="00395863"/>
    <w:rsid w:val="003A030E"/>
    <w:rsid w:val="003A0A92"/>
    <w:rsid w:val="003A1B96"/>
    <w:rsid w:val="003A49BA"/>
    <w:rsid w:val="003A51D2"/>
    <w:rsid w:val="003A5B28"/>
    <w:rsid w:val="003B3BAC"/>
    <w:rsid w:val="003B6B6F"/>
    <w:rsid w:val="003C32D2"/>
    <w:rsid w:val="003C6889"/>
    <w:rsid w:val="003E0139"/>
    <w:rsid w:val="003E0308"/>
    <w:rsid w:val="003E299C"/>
    <w:rsid w:val="003F62FC"/>
    <w:rsid w:val="003F633E"/>
    <w:rsid w:val="00402050"/>
    <w:rsid w:val="004027A9"/>
    <w:rsid w:val="00415C19"/>
    <w:rsid w:val="00416834"/>
    <w:rsid w:val="00426977"/>
    <w:rsid w:val="00426EB0"/>
    <w:rsid w:val="0043382C"/>
    <w:rsid w:val="00433E28"/>
    <w:rsid w:val="0044238E"/>
    <w:rsid w:val="004440EC"/>
    <w:rsid w:val="004445F0"/>
    <w:rsid w:val="004525A3"/>
    <w:rsid w:val="0045545E"/>
    <w:rsid w:val="00456673"/>
    <w:rsid w:val="00463671"/>
    <w:rsid w:val="00471219"/>
    <w:rsid w:val="004749A6"/>
    <w:rsid w:val="00482F40"/>
    <w:rsid w:val="00484803"/>
    <w:rsid w:val="00495605"/>
    <w:rsid w:val="00497FB9"/>
    <w:rsid w:val="004A1AD2"/>
    <w:rsid w:val="004D0F2C"/>
    <w:rsid w:val="004D634E"/>
    <w:rsid w:val="004D6E9F"/>
    <w:rsid w:val="004E083B"/>
    <w:rsid w:val="004E6896"/>
    <w:rsid w:val="004F6CE0"/>
    <w:rsid w:val="00500BB7"/>
    <w:rsid w:val="005056F8"/>
    <w:rsid w:val="00512FFF"/>
    <w:rsid w:val="00524A49"/>
    <w:rsid w:val="00532C54"/>
    <w:rsid w:val="005367F5"/>
    <w:rsid w:val="00545024"/>
    <w:rsid w:val="005475E7"/>
    <w:rsid w:val="005503F7"/>
    <w:rsid w:val="005549B7"/>
    <w:rsid w:val="00561296"/>
    <w:rsid w:val="00567DA3"/>
    <w:rsid w:val="0057079C"/>
    <w:rsid w:val="00576E35"/>
    <w:rsid w:val="005830E6"/>
    <w:rsid w:val="005869D5"/>
    <w:rsid w:val="00596899"/>
    <w:rsid w:val="005A07F0"/>
    <w:rsid w:val="005A6CC2"/>
    <w:rsid w:val="005B20CB"/>
    <w:rsid w:val="005B7D49"/>
    <w:rsid w:val="005C2351"/>
    <w:rsid w:val="005D039C"/>
    <w:rsid w:val="005E249B"/>
    <w:rsid w:val="005E3BAC"/>
    <w:rsid w:val="005F0987"/>
    <w:rsid w:val="006004DD"/>
    <w:rsid w:val="00602401"/>
    <w:rsid w:val="0060337B"/>
    <w:rsid w:val="00604832"/>
    <w:rsid w:val="00605BEB"/>
    <w:rsid w:val="00607433"/>
    <w:rsid w:val="006120F7"/>
    <w:rsid w:val="00613C2A"/>
    <w:rsid w:val="00615131"/>
    <w:rsid w:val="00634C92"/>
    <w:rsid w:val="00637B97"/>
    <w:rsid w:val="00652923"/>
    <w:rsid w:val="006619B0"/>
    <w:rsid w:val="00662140"/>
    <w:rsid w:val="00664425"/>
    <w:rsid w:val="00671AC8"/>
    <w:rsid w:val="006813F4"/>
    <w:rsid w:val="00684690"/>
    <w:rsid w:val="00686576"/>
    <w:rsid w:val="00695084"/>
    <w:rsid w:val="006A0269"/>
    <w:rsid w:val="006A15A2"/>
    <w:rsid w:val="006A2EFC"/>
    <w:rsid w:val="006A678A"/>
    <w:rsid w:val="006A6A9E"/>
    <w:rsid w:val="006B12CB"/>
    <w:rsid w:val="006B2168"/>
    <w:rsid w:val="006B2F99"/>
    <w:rsid w:val="006B6231"/>
    <w:rsid w:val="006B6283"/>
    <w:rsid w:val="006B6F75"/>
    <w:rsid w:val="006C45F9"/>
    <w:rsid w:val="006C5241"/>
    <w:rsid w:val="006C5696"/>
    <w:rsid w:val="006C6DF3"/>
    <w:rsid w:val="006D198A"/>
    <w:rsid w:val="006D2A53"/>
    <w:rsid w:val="006D3E5B"/>
    <w:rsid w:val="006E5F3F"/>
    <w:rsid w:val="006F3A2F"/>
    <w:rsid w:val="006F3B23"/>
    <w:rsid w:val="00710220"/>
    <w:rsid w:val="007110AC"/>
    <w:rsid w:val="007117E8"/>
    <w:rsid w:val="00713A9B"/>
    <w:rsid w:val="007200A1"/>
    <w:rsid w:val="00724A0F"/>
    <w:rsid w:val="00726266"/>
    <w:rsid w:val="00735044"/>
    <w:rsid w:val="0073797D"/>
    <w:rsid w:val="0074362E"/>
    <w:rsid w:val="007458E3"/>
    <w:rsid w:val="00747FD4"/>
    <w:rsid w:val="00764886"/>
    <w:rsid w:val="0076560A"/>
    <w:rsid w:val="007671DC"/>
    <w:rsid w:val="00772325"/>
    <w:rsid w:val="007726E0"/>
    <w:rsid w:val="00780DDF"/>
    <w:rsid w:val="00794A1F"/>
    <w:rsid w:val="007A29F1"/>
    <w:rsid w:val="007A2B36"/>
    <w:rsid w:val="007A2EB0"/>
    <w:rsid w:val="007B0F61"/>
    <w:rsid w:val="007B4E33"/>
    <w:rsid w:val="007B6099"/>
    <w:rsid w:val="007D2069"/>
    <w:rsid w:val="007E0D13"/>
    <w:rsid w:val="007E3D25"/>
    <w:rsid w:val="007E4221"/>
    <w:rsid w:val="007E512B"/>
    <w:rsid w:val="007E68D4"/>
    <w:rsid w:val="007F3C26"/>
    <w:rsid w:val="007F6042"/>
    <w:rsid w:val="007F6C10"/>
    <w:rsid w:val="00812BD9"/>
    <w:rsid w:val="00815CBD"/>
    <w:rsid w:val="00820326"/>
    <w:rsid w:val="008221E3"/>
    <w:rsid w:val="008256F5"/>
    <w:rsid w:val="0082656D"/>
    <w:rsid w:val="00830FE5"/>
    <w:rsid w:val="008353CD"/>
    <w:rsid w:val="008363CD"/>
    <w:rsid w:val="00837AED"/>
    <w:rsid w:val="00853A29"/>
    <w:rsid w:val="008714FE"/>
    <w:rsid w:val="0087326C"/>
    <w:rsid w:val="00875F68"/>
    <w:rsid w:val="00884274"/>
    <w:rsid w:val="00886E14"/>
    <w:rsid w:val="00887500"/>
    <w:rsid w:val="0089451C"/>
    <w:rsid w:val="0089585C"/>
    <w:rsid w:val="00896B94"/>
    <w:rsid w:val="008A5507"/>
    <w:rsid w:val="008C098F"/>
    <w:rsid w:val="008D2914"/>
    <w:rsid w:val="008D2985"/>
    <w:rsid w:val="008F02B9"/>
    <w:rsid w:val="008F51B4"/>
    <w:rsid w:val="008F75BE"/>
    <w:rsid w:val="0090061E"/>
    <w:rsid w:val="00902298"/>
    <w:rsid w:val="00910DA1"/>
    <w:rsid w:val="009145D6"/>
    <w:rsid w:val="00914877"/>
    <w:rsid w:val="00923CFB"/>
    <w:rsid w:val="00924B7C"/>
    <w:rsid w:val="00930760"/>
    <w:rsid w:val="00931C83"/>
    <w:rsid w:val="00932C92"/>
    <w:rsid w:val="009445A9"/>
    <w:rsid w:val="00950360"/>
    <w:rsid w:val="00956DE7"/>
    <w:rsid w:val="00961DB2"/>
    <w:rsid w:val="00994A76"/>
    <w:rsid w:val="00995A03"/>
    <w:rsid w:val="009968B2"/>
    <w:rsid w:val="009A7A14"/>
    <w:rsid w:val="009B196E"/>
    <w:rsid w:val="009B7227"/>
    <w:rsid w:val="009C204E"/>
    <w:rsid w:val="009C3DAF"/>
    <w:rsid w:val="009C7769"/>
    <w:rsid w:val="009D0997"/>
    <w:rsid w:val="009D5BFC"/>
    <w:rsid w:val="009E4716"/>
    <w:rsid w:val="009E6B90"/>
    <w:rsid w:val="009E6CC9"/>
    <w:rsid w:val="009F09B6"/>
    <w:rsid w:val="009F59ED"/>
    <w:rsid w:val="00A0429E"/>
    <w:rsid w:val="00A1671F"/>
    <w:rsid w:val="00A21E61"/>
    <w:rsid w:val="00A225F7"/>
    <w:rsid w:val="00A2627D"/>
    <w:rsid w:val="00A36B06"/>
    <w:rsid w:val="00A37E5C"/>
    <w:rsid w:val="00A518FB"/>
    <w:rsid w:val="00A554CE"/>
    <w:rsid w:val="00A56E9C"/>
    <w:rsid w:val="00A6016F"/>
    <w:rsid w:val="00A6286C"/>
    <w:rsid w:val="00A668AA"/>
    <w:rsid w:val="00A7315D"/>
    <w:rsid w:val="00A76A0C"/>
    <w:rsid w:val="00A94F1E"/>
    <w:rsid w:val="00A97F53"/>
    <w:rsid w:val="00AA5DF3"/>
    <w:rsid w:val="00AC06B0"/>
    <w:rsid w:val="00AC4A02"/>
    <w:rsid w:val="00AC598C"/>
    <w:rsid w:val="00AC77EE"/>
    <w:rsid w:val="00AE652C"/>
    <w:rsid w:val="00AE78BF"/>
    <w:rsid w:val="00AE7DF2"/>
    <w:rsid w:val="00B00512"/>
    <w:rsid w:val="00B134EC"/>
    <w:rsid w:val="00B14943"/>
    <w:rsid w:val="00B1573D"/>
    <w:rsid w:val="00B23528"/>
    <w:rsid w:val="00B35186"/>
    <w:rsid w:val="00B35C8B"/>
    <w:rsid w:val="00B408B0"/>
    <w:rsid w:val="00B41E2E"/>
    <w:rsid w:val="00B4277F"/>
    <w:rsid w:val="00B43AD1"/>
    <w:rsid w:val="00B45705"/>
    <w:rsid w:val="00B53254"/>
    <w:rsid w:val="00B74083"/>
    <w:rsid w:val="00B81A9D"/>
    <w:rsid w:val="00B84557"/>
    <w:rsid w:val="00B86239"/>
    <w:rsid w:val="00B87B34"/>
    <w:rsid w:val="00B92BAC"/>
    <w:rsid w:val="00B97CC9"/>
    <w:rsid w:val="00BA6C33"/>
    <w:rsid w:val="00BB2304"/>
    <w:rsid w:val="00BC3190"/>
    <w:rsid w:val="00BE0846"/>
    <w:rsid w:val="00BE5F15"/>
    <w:rsid w:val="00BE64D0"/>
    <w:rsid w:val="00BF709E"/>
    <w:rsid w:val="00C01304"/>
    <w:rsid w:val="00C0602C"/>
    <w:rsid w:val="00C250A7"/>
    <w:rsid w:val="00C26BA8"/>
    <w:rsid w:val="00C27A47"/>
    <w:rsid w:val="00C347BF"/>
    <w:rsid w:val="00C359FD"/>
    <w:rsid w:val="00C35D01"/>
    <w:rsid w:val="00C45A11"/>
    <w:rsid w:val="00C46935"/>
    <w:rsid w:val="00C47F7B"/>
    <w:rsid w:val="00C508C7"/>
    <w:rsid w:val="00C51EA0"/>
    <w:rsid w:val="00C66471"/>
    <w:rsid w:val="00C673E4"/>
    <w:rsid w:val="00C756E0"/>
    <w:rsid w:val="00C80EB9"/>
    <w:rsid w:val="00C81510"/>
    <w:rsid w:val="00C83EF0"/>
    <w:rsid w:val="00C938F7"/>
    <w:rsid w:val="00C965A0"/>
    <w:rsid w:val="00C97D80"/>
    <w:rsid w:val="00CA2F9F"/>
    <w:rsid w:val="00CA490E"/>
    <w:rsid w:val="00CB0BA3"/>
    <w:rsid w:val="00CC5019"/>
    <w:rsid w:val="00CC78C5"/>
    <w:rsid w:val="00CD31A2"/>
    <w:rsid w:val="00CE7666"/>
    <w:rsid w:val="00CF0DF0"/>
    <w:rsid w:val="00CF0E43"/>
    <w:rsid w:val="00CF238F"/>
    <w:rsid w:val="00CF398A"/>
    <w:rsid w:val="00D004AF"/>
    <w:rsid w:val="00D00811"/>
    <w:rsid w:val="00D0597A"/>
    <w:rsid w:val="00D075CB"/>
    <w:rsid w:val="00D075D3"/>
    <w:rsid w:val="00D420A5"/>
    <w:rsid w:val="00D47CD4"/>
    <w:rsid w:val="00D50C9A"/>
    <w:rsid w:val="00D51F4A"/>
    <w:rsid w:val="00D624F5"/>
    <w:rsid w:val="00D637C4"/>
    <w:rsid w:val="00D638DB"/>
    <w:rsid w:val="00D63B09"/>
    <w:rsid w:val="00D640BA"/>
    <w:rsid w:val="00DA2DEB"/>
    <w:rsid w:val="00DA3D0B"/>
    <w:rsid w:val="00DB3274"/>
    <w:rsid w:val="00DC2ECB"/>
    <w:rsid w:val="00DC4A01"/>
    <w:rsid w:val="00DD5ACA"/>
    <w:rsid w:val="00DE0AD2"/>
    <w:rsid w:val="00DE2C33"/>
    <w:rsid w:val="00DE55CC"/>
    <w:rsid w:val="00DE6AEA"/>
    <w:rsid w:val="00E02D7C"/>
    <w:rsid w:val="00E066CC"/>
    <w:rsid w:val="00E1130E"/>
    <w:rsid w:val="00E14A2C"/>
    <w:rsid w:val="00E15F24"/>
    <w:rsid w:val="00E20932"/>
    <w:rsid w:val="00E26FBA"/>
    <w:rsid w:val="00E36CF5"/>
    <w:rsid w:val="00E4063F"/>
    <w:rsid w:val="00E439CA"/>
    <w:rsid w:val="00E51A95"/>
    <w:rsid w:val="00E530BB"/>
    <w:rsid w:val="00E61C8E"/>
    <w:rsid w:val="00E77053"/>
    <w:rsid w:val="00E8482B"/>
    <w:rsid w:val="00E87E43"/>
    <w:rsid w:val="00E95FA8"/>
    <w:rsid w:val="00E963FA"/>
    <w:rsid w:val="00EA6765"/>
    <w:rsid w:val="00EC4ABB"/>
    <w:rsid w:val="00ED5517"/>
    <w:rsid w:val="00EE1591"/>
    <w:rsid w:val="00F1499F"/>
    <w:rsid w:val="00F15830"/>
    <w:rsid w:val="00F235A6"/>
    <w:rsid w:val="00F237FA"/>
    <w:rsid w:val="00F24A50"/>
    <w:rsid w:val="00F25C53"/>
    <w:rsid w:val="00F3001C"/>
    <w:rsid w:val="00F30CA4"/>
    <w:rsid w:val="00F43331"/>
    <w:rsid w:val="00F4333C"/>
    <w:rsid w:val="00F515D3"/>
    <w:rsid w:val="00F57A69"/>
    <w:rsid w:val="00F63285"/>
    <w:rsid w:val="00F671C7"/>
    <w:rsid w:val="00F710C5"/>
    <w:rsid w:val="00F73EC4"/>
    <w:rsid w:val="00F75A36"/>
    <w:rsid w:val="00F83AAD"/>
    <w:rsid w:val="00F852E8"/>
    <w:rsid w:val="00F86C89"/>
    <w:rsid w:val="00F9125E"/>
    <w:rsid w:val="00F952C0"/>
    <w:rsid w:val="00F97B84"/>
    <w:rsid w:val="00FB1FAE"/>
    <w:rsid w:val="00FC2BAC"/>
    <w:rsid w:val="00FD7ABA"/>
    <w:rsid w:val="00FD7DFC"/>
    <w:rsid w:val="00FE325D"/>
    <w:rsid w:val="00FF07F5"/>
    <w:rsid w:val="00FF15FB"/>
    <w:rsid w:val="00FF66C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CE2CA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B68"/>
    <w:rPr>
      <w:lang w:val="en-GB"/>
    </w:rPr>
  </w:style>
  <w:style w:type="paragraph" w:styleId="Heading1">
    <w:name w:val="heading 1"/>
    <w:aliases w:val="Heading1_Titre1"/>
    <w:basedOn w:val="Normal"/>
    <w:next w:val="Normal"/>
    <w:link w:val="Heading1Char"/>
    <w:qFormat/>
    <w:rsid w:val="00067B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2_Titre2"/>
    <w:basedOn w:val="Normal"/>
    <w:next w:val="Normal"/>
    <w:link w:val="Heading2Char"/>
    <w:unhideWhenUsed/>
    <w:qFormat/>
    <w:rsid w:val="00067B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eading3_Titre3"/>
    <w:basedOn w:val="Normal"/>
    <w:next w:val="Normal"/>
    <w:link w:val="Heading3Char"/>
    <w:unhideWhenUsed/>
    <w:qFormat/>
    <w:rsid w:val="00067B6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eading4_Titre4"/>
    <w:basedOn w:val="Normal"/>
    <w:next w:val="Normal"/>
    <w:link w:val="Heading4Char"/>
    <w:unhideWhenUsed/>
    <w:qFormat/>
    <w:rsid w:val="00067B6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67B6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67B6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67B6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67B6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67B6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7B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7B6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1"/>
    <w:qFormat/>
    <w:rsid w:val="00067B68"/>
    <w:pPr>
      <w:ind w:left="720"/>
      <w:contextualSpacing/>
    </w:pPr>
  </w:style>
  <w:style w:type="character" w:customStyle="1" w:styleId="Heading1Char">
    <w:name w:val="Heading 1 Char"/>
    <w:aliases w:val="Heading1_Titre1 Char"/>
    <w:basedOn w:val="DefaultParagraphFont"/>
    <w:link w:val="Heading1"/>
    <w:uiPriority w:val="9"/>
    <w:rsid w:val="00067B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2_Titre2 Char"/>
    <w:basedOn w:val="DefaultParagraphFont"/>
    <w:link w:val="Heading2"/>
    <w:uiPriority w:val="9"/>
    <w:rsid w:val="00067B68"/>
    <w:rPr>
      <w:rFonts w:asciiTheme="majorHAnsi" w:eastAsiaTheme="majorEastAsia" w:hAnsiTheme="majorHAnsi" w:cstheme="majorBidi"/>
      <w:b/>
      <w:bCs/>
      <w:color w:val="4F81BD" w:themeColor="accent1"/>
      <w:sz w:val="26"/>
      <w:szCs w:val="26"/>
    </w:rPr>
  </w:style>
  <w:style w:type="paragraph" w:styleId="Index1">
    <w:name w:val="index 1"/>
    <w:basedOn w:val="Normal"/>
    <w:next w:val="Normal"/>
    <w:autoRedefine/>
    <w:uiPriority w:val="99"/>
    <w:unhideWhenUsed/>
    <w:rsid w:val="00C51EA0"/>
    <w:pPr>
      <w:ind w:left="240" w:hanging="240"/>
    </w:pPr>
    <w:rPr>
      <w:sz w:val="18"/>
      <w:szCs w:val="18"/>
    </w:rPr>
  </w:style>
  <w:style w:type="paragraph" w:styleId="Index2">
    <w:name w:val="index 2"/>
    <w:basedOn w:val="Normal"/>
    <w:next w:val="Normal"/>
    <w:autoRedefine/>
    <w:uiPriority w:val="99"/>
    <w:unhideWhenUsed/>
    <w:rsid w:val="00C51EA0"/>
    <w:pPr>
      <w:ind w:left="480" w:hanging="240"/>
    </w:pPr>
    <w:rPr>
      <w:sz w:val="18"/>
      <w:szCs w:val="18"/>
    </w:rPr>
  </w:style>
  <w:style w:type="paragraph" w:styleId="Index3">
    <w:name w:val="index 3"/>
    <w:basedOn w:val="Normal"/>
    <w:next w:val="Normal"/>
    <w:autoRedefine/>
    <w:uiPriority w:val="99"/>
    <w:unhideWhenUsed/>
    <w:rsid w:val="00C51EA0"/>
    <w:pPr>
      <w:ind w:left="720" w:hanging="240"/>
    </w:pPr>
    <w:rPr>
      <w:sz w:val="18"/>
      <w:szCs w:val="18"/>
    </w:rPr>
  </w:style>
  <w:style w:type="paragraph" w:styleId="Index4">
    <w:name w:val="index 4"/>
    <w:basedOn w:val="Normal"/>
    <w:next w:val="Normal"/>
    <w:autoRedefine/>
    <w:uiPriority w:val="99"/>
    <w:unhideWhenUsed/>
    <w:rsid w:val="00C51EA0"/>
    <w:pPr>
      <w:ind w:left="960" w:hanging="240"/>
    </w:pPr>
    <w:rPr>
      <w:sz w:val="18"/>
      <w:szCs w:val="18"/>
    </w:rPr>
  </w:style>
  <w:style w:type="paragraph" w:styleId="Index5">
    <w:name w:val="index 5"/>
    <w:basedOn w:val="Normal"/>
    <w:next w:val="Normal"/>
    <w:autoRedefine/>
    <w:uiPriority w:val="99"/>
    <w:unhideWhenUsed/>
    <w:rsid w:val="00C51EA0"/>
    <w:pPr>
      <w:ind w:left="1200" w:hanging="240"/>
    </w:pPr>
    <w:rPr>
      <w:sz w:val="18"/>
      <w:szCs w:val="18"/>
    </w:rPr>
  </w:style>
  <w:style w:type="paragraph" w:styleId="Index6">
    <w:name w:val="index 6"/>
    <w:basedOn w:val="Normal"/>
    <w:next w:val="Normal"/>
    <w:autoRedefine/>
    <w:uiPriority w:val="99"/>
    <w:unhideWhenUsed/>
    <w:rsid w:val="00C51EA0"/>
    <w:pPr>
      <w:ind w:left="1440" w:hanging="240"/>
    </w:pPr>
    <w:rPr>
      <w:sz w:val="18"/>
      <w:szCs w:val="18"/>
    </w:rPr>
  </w:style>
  <w:style w:type="paragraph" w:styleId="Index7">
    <w:name w:val="index 7"/>
    <w:basedOn w:val="Normal"/>
    <w:next w:val="Normal"/>
    <w:autoRedefine/>
    <w:uiPriority w:val="99"/>
    <w:unhideWhenUsed/>
    <w:rsid w:val="00C51EA0"/>
    <w:pPr>
      <w:ind w:left="1680" w:hanging="240"/>
    </w:pPr>
    <w:rPr>
      <w:sz w:val="18"/>
      <w:szCs w:val="18"/>
    </w:rPr>
  </w:style>
  <w:style w:type="paragraph" w:styleId="Index8">
    <w:name w:val="index 8"/>
    <w:basedOn w:val="Normal"/>
    <w:next w:val="Normal"/>
    <w:autoRedefine/>
    <w:uiPriority w:val="99"/>
    <w:unhideWhenUsed/>
    <w:rsid w:val="00C51EA0"/>
    <w:pPr>
      <w:ind w:left="1920" w:hanging="240"/>
    </w:pPr>
    <w:rPr>
      <w:sz w:val="18"/>
      <w:szCs w:val="18"/>
    </w:rPr>
  </w:style>
  <w:style w:type="paragraph" w:styleId="Index9">
    <w:name w:val="index 9"/>
    <w:basedOn w:val="Normal"/>
    <w:next w:val="Normal"/>
    <w:autoRedefine/>
    <w:uiPriority w:val="99"/>
    <w:unhideWhenUsed/>
    <w:rsid w:val="00C51EA0"/>
    <w:pPr>
      <w:ind w:left="2160" w:hanging="240"/>
    </w:pPr>
    <w:rPr>
      <w:sz w:val="18"/>
      <w:szCs w:val="18"/>
    </w:rPr>
  </w:style>
  <w:style w:type="paragraph" w:styleId="IndexHeading">
    <w:name w:val="index heading"/>
    <w:basedOn w:val="Normal"/>
    <w:next w:val="Index1"/>
    <w:uiPriority w:val="99"/>
    <w:unhideWhenUsed/>
    <w:rsid w:val="00C51EA0"/>
    <w:pPr>
      <w:spacing w:before="240" w:after="120"/>
      <w:jc w:val="center"/>
    </w:pPr>
    <w:rPr>
      <w:b/>
      <w:sz w:val="26"/>
      <w:szCs w:val="26"/>
    </w:rPr>
  </w:style>
  <w:style w:type="paragraph" w:styleId="TOC1">
    <w:name w:val="toc 1"/>
    <w:basedOn w:val="Normal"/>
    <w:next w:val="Normal"/>
    <w:autoRedefine/>
    <w:uiPriority w:val="39"/>
    <w:unhideWhenUsed/>
    <w:rsid w:val="009C3DAF"/>
    <w:pPr>
      <w:tabs>
        <w:tab w:val="left" w:pos="438"/>
        <w:tab w:val="right" w:leader="dot" w:pos="8290"/>
      </w:tabs>
      <w:spacing w:before="120" w:after="0" w:line="300" w:lineRule="auto"/>
    </w:pPr>
    <w:rPr>
      <w:rFonts w:ascii="Cambria" w:hAnsi="Cambria"/>
      <w:b/>
      <w:noProof/>
      <w:color w:val="548DD4"/>
    </w:rPr>
  </w:style>
  <w:style w:type="paragraph" w:styleId="TOC2">
    <w:name w:val="toc 2"/>
    <w:basedOn w:val="Normal"/>
    <w:next w:val="Normal"/>
    <w:autoRedefine/>
    <w:uiPriority w:val="39"/>
    <w:unhideWhenUsed/>
    <w:rsid w:val="00994A76"/>
    <w:pPr>
      <w:tabs>
        <w:tab w:val="left" w:pos="574"/>
        <w:tab w:val="right" w:leader="dot" w:pos="8290"/>
      </w:tabs>
      <w:spacing w:after="0" w:line="360" w:lineRule="auto"/>
    </w:pPr>
  </w:style>
  <w:style w:type="paragraph" w:styleId="TOC3">
    <w:name w:val="toc 3"/>
    <w:basedOn w:val="Normal"/>
    <w:next w:val="Normal"/>
    <w:autoRedefine/>
    <w:uiPriority w:val="39"/>
    <w:unhideWhenUsed/>
    <w:rsid w:val="00853A29"/>
    <w:pPr>
      <w:tabs>
        <w:tab w:val="left" w:pos="1100"/>
        <w:tab w:val="right" w:leader="dot" w:pos="8364"/>
      </w:tabs>
      <w:spacing w:after="0"/>
      <w:ind w:left="220"/>
    </w:pPr>
    <w:rPr>
      <w:i/>
    </w:rPr>
  </w:style>
  <w:style w:type="paragraph" w:styleId="TOC4">
    <w:name w:val="toc 4"/>
    <w:basedOn w:val="Normal"/>
    <w:next w:val="Normal"/>
    <w:autoRedefine/>
    <w:uiPriority w:val="39"/>
    <w:unhideWhenUsed/>
    <w:rsid w:val="00C51EA0"/>
    <w:pPr>
      <w:pBdr>
        <w:between w:val="double" w:sz="6" w:space="0" w:color="auto"/>
      </w:pBdr>
      <w:spacing w:after="0"/>
      <w:ind w:left="440"/>
    </w:pPr>
    <w:rPr>
      <w:sz w:val="20"/>
      <w:szCs w:val="20"/>
    </w:rPr>
  </w:style>
  <w:style w:type="paragraph" w:styleId="TOC5">
    <w:name w:val="toc 5"/>
    <w:basedOn w:val="Normal"/>
    <w:next w:val="Normal"/>
    <w:autoRedefine/>
    <w:uiPriority w:val="39"/>
    <w:unhideWhenUsed/>
    <w:rsid w:val="00C51EA0"/>
    <w:pPr>
      <w:pBdr>
        <w:between w:val="double" w:sz="6" w:space="0" w:color="auto"/>
      </w:pBdr>
      <w:spacing w:after="0"/>
      <w:ind w:left="660"/>
    </w:pPr>
    <w:rPr>
      <w:sz w:val="20"/>
      <w:szCs w:val="20"/>
    </w:rPr>
  </w:style>
  <w:style w:type="paragraph" w:styleId="TOC6">
    <w:name w:val="toc 6"/>
    <w:basedOn w:val="Normal"/>
    <w:next w:val="Normal"/>
    <w:autoRedefine/>
    <w:uiPriority w:val="39"/>
    <w:unhideWhenUsed/>
    <w:rsid w:val="00C51EA0"/>
    <w:pPr>
      <w:pBdr>
        <w:between w:val="double" w:sz="6" w:space="0" w:color="auto"/>
      </w:pBdr>
      <w:spacing w:after="0"/>
      <w:ind w:left="880"/>
    </w:pPr>
    <w:rPr>
      <w:sz w:val="20"/>
      <w:szCs w:val="20"/>
    </w:rPr>
  </w:style>
  <w:style w:type="paragraph" w:styleId="TOC7">
    <w:name w:val="toc 7"/>
    <w:basedOn w:val="Normal"/>
    <w:next w:val="Normal"/>
    <w:autoRedefine/>
    <w:uiPriority w:val="39"/>
    <w:unhideWhenUsed/>
    <w:rsid w:val="00C51EA0"/>
    <w:pPr>
      <w:pBdr>
        <w:between w:val="double" w:sz="6" w:space="0" w:color="auto"/>
      </w:pBdr>
      <w:spacing w:after="0"/>
      <w:ind w:left="1100"/>
    </w:pPr>
    <w:rPr>
      <w:sz w:val="20"/>
      <w:szCs w:val="20"/>
    </w:rPr>
  </w:style>
  <w:style w:type="paragraph" w:styleId="TOC8">
    <w:name w:val="toc 8"/>
    <w:basedOn w:val="Normal"/>
    <w:next w:val="Normal"/>
    <w:autoRedefine/>
    <w:uiPriority w:val="39"/>
    <w:unhideWhenUsed/>
    <w:rsid w:val="00C51EA0"/>
    <w:pPr>
      <w:pBdr>
        <w:between w:val="double" w:sz="6" w:space="0" w:color="auto"/>
      </w:pBdr>
      <w:spacing w:after="0"/>
      <w:ind w:left="1320"/>
    </w:pPr>
    <w:rPr>
      <w:sz w:val="20"/>
      <w:szCs w:val="20"/>
    </w:rPr>
  </w:style>
  <w:style w:type="paragraph" w:styleId="TOC9">
    <w:name w:val="toc 9"/>
    <w:basedOn w:val="Normal"/>
    <w:next w:val="Normal"/>
    <w:autoRedefine/>
    <w:uiPriority w:val="39"/>
    <w:unhideWhenUsed/>
    <w:rsid w:val="00C51EA0"/>
    <w:pPr>
      <w:pBdr>
        <w:between w:val="double" w:sz="6" w:space="0" w:color="auto"/>
      </w:pBdr>
      <w:spacing w:after="0"/>
      <w:ind w:left="1540"/>
    </w:pPr>
    <w:rPr>
      <w:sz w:val="20"/>
      <w:szCs w:val="20"/>
    </w:rPr>
  </w:style>
  <w:style w:type="paragraph" w:styleId="Header">
    <w:name w:val="header"/>
    <w:basedOn w:val="Normal"/>
    <w:link w:val="HeaderChar"/>
    <w:uiPriority w:val="99"/>
    <w:unhideWhenUsed/>
    <w:rsid w:val="008F02B9"/>
    <w:pPr>
      <w:tabs>
        <w:tab w:val="center" w:pos="4153"/>
        <w:tab w:val="right" w:pos="8306"/>
      </w:tabs>
    </w:pPr>
  </w:style>
  <w:style w:type="character" w:customStyle="1" w:styleId="HeaderChar">
    <w:name w:val="Header Char"/>
    <w:basedOn w:val="DefaultParagraphFont"/>
    <w:link w:val="Header"/>
    <w:uiPriority w:val="99"/>
    <w:rsid w:val="008F02B9"/>
    <w:rPr>
      <w:lang w:val="en-US"/>
    </w:rPr>
  </w:style>
  <w:style w:type="paragraph" w:styleId="Footer">
    <w:name w:val="footer"/>
    <w:basedOn w:val="Normal"/>
    <w:link w:val="FooterChar"/>
    <w:uiPriority w:val="99"/>
    <w:unhideWhenUsed/>
    <w:rsid w:val="008F02B9"/>
    <w:pPr>
      <w:tabs>
        <w:tab w:val="center" w:pos="4153"/>
        <w:tab w:val="right" w:pos="8306"/>
      </w:tabs>
    </w:pPr>
  </w:style>
  <w:style w:type="character" w:customStyle="1" w:styleId="FooterChar">
    <w:name w:val="Footer Char"/>
    <w:basedOn w:val="DefaultParagraphFont"/>
    <w:link w:val="Footer"/>
    <w:uiPriority w:val="99"/>
    <w:rsid w:val="008F02B9"/>
    <w:rPr>
      <w:lang w:val="en-US"/>
    </w:rPr>
  </w:style>
  <w:style w:type="character" w:customStyle="1" w:styleId="Heading3Char">
    <w:name w:val="Heading 3 Char"/>
    <w:aliases w:val="Heading3_Titre3 Char"/>
    <w:basedOn w:val="DefaultParagraphFont"/>
    <w:link w:val="Heading3"/>
    <w:uiPriority w:val="9"/>
    <w:rsid w:val="00067B68"/>
    <w:rPr>
      <w:rFonts w:asciiTheme="majorHAnsi" w:eastAsiaTheme="majorEastAsia" w:hAnsiTheme="majorHAnsi" w:cstheme="majorBidi"/>
      <w:b/>
      <w:bCs/>
      <w:color w:val="4F81BD" w:themeColor="accent1"/>
    </w:rPr>
  </w:style>
  <w:style w:type="character" w:customStyle="1" w:styleId="Heading4Char">
    <w:name w:val="Heading 4 Char"/>
    <w:aliases w:val="Heading4_Titre4 Char"/>
    <w:basedOn w:val="DefaultParagraphFont"/>
    <w:link w:val="Heading4"/>
    <w:uiPriority w:val="9"/>
    <w:rsid w:val="00067B6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67B6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67B6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67B6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67B6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67B6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67B68"/>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067B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67B6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67B68"/>
    <w:rPr>
      <w:b/>
      <w:bCs/>
    </w:rPr>
  </w:style>
  <w:style w:type="character" w:styleId="Emphasis">
    <w:name w:val="Emphasis"/>
    <w:basedOn w:val="DefaultParagraphFont"/>
    <w:uiPriority w:val="20"/>
    <w:qFormat/>
    <w:rsid w:val="00067B68"/>
    <w:rPr>
      <w:i/>
      <w:iCs/>
    </w:rPr>
  </w:style>
  <w:style w:type="paragraph" w:styleId="NoSpacing">
    <w:name w:val="No Spacing"/>
    <w:link w:val="NoSpacingChar"/>
    <w:uiPriority w:val="1"/>
    <w:qFormat/>
    <w:rsid w:val="00067B68"/>
    <w:pPr>
      <w:spacing w:after="0" w:line="240" w:lineRule="auto"/>
    </w:pPr>
  </w:style>
  <w:style w:type="paragraph" w:styleId="Quote">
    <w:name w:val="Quote"/>
    <w:basedOn w:val="Normal"/>
    <w:next w:val="Normal"/>
    <w:link w:val="QuoteChar"/>
    <w:uiPriority w:val="29"/>
    <w:qFormat/>
    <w:rsid w:val="00067B68"/>
    <w:rPr>
      <w:i/>
      <w:iCs/>
      <w:color w:val="000000" w:themeColor="text1"/>
    </w:rPr>
  </w:style>
  <w:style w:type="character" w:customStyle="1" w:styleId="QuoteChar">
    <w:name w:val="Quote Char"/>
    <w:basedOn w:val="DefaultParagraphFont"/>
    <w:link w:val="Quote"/>
    <w:uiPriority w:val="29"/>
    <w:rsid w:val="00067B68"/>
    <w:rPr>
      <w:i/>
      <w:iCs/>
      <w:color w:val="000000" w:themeColor="text1"/>
    </w:rPr>
  </w:style>
  <w:style w:type="paragraph" w:styleId="IntenseQuote">
    <w:name w:val="Intense Quote"/>
    <w:basedOn w:val="Normal"/>
    <w:next w:val="Normal"/>
    <w:link w:val="IntenseQuoteChar"/>
    <w:uiPriority w:val="30"/>
    <w:qFormat/>
    <w:rsid w:val="00067B6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67B68"/>
    <w:rPr>
      <w:b/>
      <w:bCs/>
      <w:i/>
      <w:iCs/>
      <w:color w:val="4F81BD" w:themeColor="accent1"/>
    </w:rPr>
  </w:style>
  <w:style w:type="character" w:styleId="SubtleEmphasis">
    <w:name w:val="Subtle Emphasis"/>
    <w:basedOn w:val="DefaultParagraphFont"/>
    <w:uiPriority w:val="19"/>
    <w:qFormat/>
    <w:rsid w:val="00067B68"/>
    <w:rPr>
      <w:i/>
      <w:iCs/>
      <w:color w:val="808080" w:themeColor="text1" w:themeTint="7F"/>
    </w:rPr>
  </w:style>
  <w:style w:type="character" w:styleId="IntenseEmphasis">
    <w:name w:val="Intense Emphasis"/>
    <w:basedOn w:val="DefaultParagraphFont"/>
    <w:uiPriority w:val="21"/>
    <w:qFormat/>
    <w:rsid w:val="00067B68"/>
    <w:rPr>
      <w:b/>
      <w:bCs/>
      <w:i/>
      <w:iCs/>
      <w:color w:val="4F81BD" w:themeColor="accent1"/>
    </w:rPr>
  </w:style>
  <w:style w:type="character" w:styleId="SubtleReference">
    <w:name w:val="Subtle Reference"/>
    <w:basedOn w:val="DefaultParagraphFont"/>
    <w:uiPriority w:val="31"/>
    <w:qFormat/>
    <w:rsid w:val="00067B68"/>
    <w:rPr>
      <w:smallCaps/>
      <w:color w:val="C0504D" w:themeColor="accent2"/>
      <w:u w:val="single"/>
    </w:rPr>
  </w:style>
  <w:style w:type="character" w:styleId="IntenseReference">
    <w:name w:val="Intense Reference"/>
    <w:basedOn w:val="DefaultParagraphFont"/>
    <w:uiPriority w:val="32"/>
    <w:qFormat/>
    <w:rsid w:val="00067B68"/>
    <w:rPr>
      <w:b/>
      <w:bCs/>
      <w:smallCaps/>
      <w:color w:val="C0504D" w:themeColor="accent2"/>
      <w:spacing w:val="5"/>
      <w:u w:val="single"/>
    </w:rPr>
  </w:style>
  <w:style w:type="character" w:styleId="BookTitle">
    <w:name w:val="Book Title"/>
    <w:basedOn w:val="DefaultParagraphFont"/>
    <w:uiPriority w:val="33"/>
    <w:qFormat/>
    <w:rsid w:val="00067B68"/>
    <w:rPr>
      <w:b/>
      <w:bCs/>
      <w:smallCaps/>
      <w:spacing w:val="5"/>
    </w:rPr>
  </w:style>
  <w:style w:type="paragraph" w:styleId="TOCHeading">
    <w:name w:val="TOC Heading"/>
    <w:basedOn w:val="Heading1"/>
    <w:next w:val="Normal"/>
    <w:uiPriority w:val="39"/>
    <w:semiHidden/>
    <w:unhideWhenUsed/>
    <w:qFormat/>
    <w:rsid w:val="00067B68"/>
    <w:pPr>
      <w:outlineLvl w:val="9"/>
    </w:pPr>
  </w:style>
  <w:style w:type="character" w:customStyle="1" w:styleId="NoSpacingChar">
    <w:name w:val="No Spacing Char"/>
    <w:basedOn w:val="DefaultParagraphFont"/>
    <w:link w:val="NoSpacing"/>
    <w:uiPriority w:val="1"/>
    <w:rsid w:val="00067B68"/>
  </w:style>
  <w:style w:type="paragraph" w:customStyle="1" w:styleId="Default">
    <w:name w:val="Default"/>
    <w:rsid w:val="00256367"/>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level5">
    <w:name w:val="level5"/>
    <w:rsid w:val="007D2069"/>
    <w:pPr>
      <w:tabs>
        <w:tab w:val="num" w:pos="1389"/>
      </w:tabs>
      <w:spacing w:after="0" w:line="240" w:lineRule="auto"/>
      <w:ind w:left="1389" w:hanging="453"/>
    </w:pPr>
    <w:rPr>
      <w:rFonts w:ascii="Times New Roman" w:eastAsia="Times New Roman" w:hAnsi="Times New Roman" w:cs="Times New Roman"/>
      <w:sz w:val="24"/>
      <w:szCs w:val="24"/>
      <w:lang w:val="en-GB"/>
    </w:rPr>
  </w:style>
  <w:style w:type="paragraph" w:customStyle="1" w:styleId="level6">
    <w:name w:val="level6"/>
    <w:rsid w:val="007D2069"/>
    <w:pPr>
      <w:tabs>
        <w:tab w:val="num" w:pos="1843"/>
      </w:tabs>
      <w:spacing w:before="120" w:after="0" w:line="240" w:lineRule="auto"/>
      <w:ind w:left="1843" w:hanging="454"/>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713A9B"/>
    <w:rPr>
      <w:sz w:val="16"/>
      <w:szCs w:val="16"/>
    </w:rPr>
  </w:style>
  <w:style w:type="paragraph" w:styleId="CommentText">
    <w:name w:val="annotation text"/>
    <w:basedOn w:val="Normal"/>
    <w:link w:val="CommentTextChar"/>
    <w:uiPriority w:val="99"/>
    <w:unhideWhenUsed/>
    <w:rsid w:val="00713A9B"/>
    <w:pPr>
      <w:spacing w:line="240" w:lineRule="auto"/>
    </w:pPr>
    <w:rPr>
      <w:sz w:val="20"/>
      <w:szCs w:val="20"/>
    </w:rPr>
  </w:style>
  <w:style w:type="character" w:customStyle="1" w:styleId="CommentTextChar">
    <w:name w:val="Comment Text Char"/>
    <w:basedOn w:val="DefaultParagraphFont"/>
    <w:link w:val="CommentText"/>
    <w:uiPriority w:val="99"/>
    <w:rsid w:val="00713A9B"/>
    <w:rPr>
      <w:sz w:val="20"/>
      <w:szCs w:val="20"/>
      <w:lang w:val="en-GB"/>
    </w:rPr>
  </w:style>
  <w:style w:type="paragraph" w:styleId="CommentSubject">
    <w:name w:val="annotation subject"/>
    <w:basedOn w:val="CommentText"/>
    <w:next w:val="CommentText"/>
    <w:link w:val="CommentSubjectChar"/>
    <w:uiPriority w:val="99"/>
    <w:semiHidden/>
    <w:unhideWhenUsed/>
    <w:rsid w:val="00713A9B"/>
    <w:rPr>
      <w:b/>
      <w:bCs/>
    </w:rPr>
  </w:style>
  <w:style w:type="character" w:customStyle="1" w:styleId="CommentSubjectChar">
    <w:name w:val="Comment Subject Char"/>
    <w:basedOn w:val="CommentTextChar"/>
    <w:link w:val="CommentSubject"/>
    <w:uiPriority w:val="99"/>
    <w:semiHidden/>
    <w:rsid w:val="00713A9B"/>
    <w:rPr>
      <w:b/>
      <w:bCs/>
      <w:sz w:val="20"/>
      <w:szCs w:val="20"/>
      <w:lang w:val="en-GB"/>
    </w:rPr>
  </w:style>
  <w:style w:type="paragraph" w:styleId="BalloonText">
    <w:name w:val="Balloon Text"/>
    <w:basedOn w:val="Normal"/>
    <w:link w:val="BalloonTextChar"/>
    <w:uiPriority w:val="99"/>
    <w:semiHidden/>
    <w:unhideWhenUsed/>
    <w:rsid w:val="00713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A9B"/>
    <w:rPr>
      <w:rFonts w:ascii="Tahoma" w:hAnsi="Tahoma" w:cs="Tahoma"/>
      <w:sz w:val="16"/>
      <w:szCs w:val="16"/>
      <w:lang w:val="en-GB"/>
    </w:rPr>
  </w:style>
  <w:style w:type="paragraph" w:styleId="NormalWeb">
    <w:name w:val="Normal (Web)"/>
    <w:basedOn w:val="Normal"/>
    <w:uiPriority w:val="99"/>
    <w:unhideWhenUsed/>
    <w:rsid w:val="00545024"/>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Hyperlink">
    <w:name w:val="Hyperlink"/>
    <w:basedOn w:val="DefaultParagraphFont"/>
    <w:uiPriority w:val="99"/>
    <w:unhideWhenUsed/>
    <w:rsid w:val="00047F20"/>
    <w:rPr>
      <w:color w:val="0000FF" w:themeColor="hyperlink"/>
      <w:u w:val="single"/>
    </w:rPr>
  </w:style>
  <w:style w:type="paragraph" w:styleId="Revision">
    <w:name w:val="Revision"/>
    <w:hidden/>
    <w:uiPriority w:val="99"/>
    <w:semiHidden/>
    <w:rsid w:val="00686576"/>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B68"/>
    <w:rPr>
      <w:lang w:val="en-GB"/>
    </w:rPr>
  </w:style>
  <w:style w:type="paragraph" w:styleId="Heading1">
    <w:name w:val="heading 1"/>
    <w:aliases w:val="Heading1_Titre1"/>
    <w:basedOn w:val="Normal"/>
    <w:next w:val="Normal"/>
    <w:link w:val="Heading1Char"/>
    <w:qFormat/>
    <w:rsid w:val="00067B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2_Titre2"/>
    <w:basedOn w:val="Normal"/>
    <w:next w:val="Normal"/>
    <w:link w:val="Heading2Char"/>
    <w:unhideWhenUsed/>
    <w:qFormat/>
    <w:rsid w:val="00067B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eading3_Titre3"/>
    <w:basedOn w:val="Normal"/>
    <w:next w:val="Normal"/>
    <w:link w:val="Heading3Char"/>
    <w:unhideWhenUsed/>
    <w:qFormat/>
    <w:rsid w:val="00067B6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eading4_Titre4"/>
    <w:basedOn w:val="Normal"/>
    <w:next w:val="Normal"/>
    <w:link w:val="Heading4Char"/>
    <w:unhideWhenUsed/>
    <w:qFormat/>
    <w:rsid w:val="00067B6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67B6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67B6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67B6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67B6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67B6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7B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7B6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1"/>
    <w:qFormat/>
    <w:rsid w:val="00067B68"/>
    <w:pPr>
      <w:ind w:left="720"/>
      <w:contextualSpacing/>
    </w:pPr>
  </w:style>
  <w:style w:type="character" w:customStyle="1" w:styleId="Heading1Char">
    <w:name w:val="Heading 1 Char"/>
    <w:aliases w:val="Heading1_Titre1 Char"/>
    <w:basedOn w:val="DefaultParagraphFont"/>
    <w:link w:val="Heading1"/>
    <w:uiPriority w:val="9"/>
    <w:rsid w:val="00067B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2_Titre2 Char"/>
    <w:basedOn w:val="DefaultParagraphFont"/>
    <w:link w:val="Heading2"/>
    <w:uiPriority w:val="9"/>
    <w:rsid w:val="00067B68"/>
    <w:rPr>
      <w:rFonts w:asciiTheme="majorHAnsi" w:eastAsiaTheme="majorEastAsia" w:hAnsiTheme="majorHAnsi" w:cstheme="majorBidi"/>
      <w:b/>
      <w:bCs/>
      <w:color w:val="4F81BD" w:themeColor="accent1"/>
      <w:sz w:val="26"/>
      <w:szCs w:val="26"/>
    </w:rPr>
  </w:style>
  <w:style w:type="paragraph" w:styleId="Index1">
    <w:name w:val="index 1"/>
    <w:basedOn w:val="Normal"/>
    <w:next w:val="Normal"/>
    <w:autoRedefine/>
    <w:uiPriority w:val="99"/>
    <w:unhideWhenUsed/>
    <w:rsid w:val="00C51EA0"/>
    <w:pPr>
      <w:ind w:left="240" w:hanging="240"/>
    </w:pPr>
    <w:rPr>
      <w:sz w:val="18"/>
      <w:szCs w:val="18"/>
    </w:rPr>
  </w:style>
  <w:style w:type="paragraph" w:styleId="Index2">
    <w:name w:val="index 2"/>
    <w:basedOn w:val="Normal"/>
    <w:next w:val="Normal"/>
    <w:autoRedefine/>
    <w:uiPriority w:val="99"/>
    <w:unhideWhenUsed/>
    <w:rsid w:val="00C51EA0"/>
    <w:pPr>
      <w:ind w:left="480" w:hanging="240"/>
    </w:pPr>
    <w:rPr>
      <w:sz w:val="18"/>
      <w:szCs w:val="18"/>
    </w:rPr>
  </w:style>
  <w:style w:type="paragraph" w:styleId="Index3">
    <w:name w:val="index 3"/>
    <w:basedOn w:val="Normal"/>
    <w:next w:val="Normal"/>
    <w:autoRedefine/>
    <w:uiPriority w:val="99"/>
    <w:unhideWhenUsed/>
    <w:rsid w:val="00C51EA0"/>
    <w:pPr>
      <w:ind w:left="720" w:hanging="240"/>
    </w:pPr>
    <w:rPr>
      <w:sz w:val="18"/>
      <w:szCs w:val="18"/>
    </w:rPr>
  </w:style>
  <w:style w:type="paragraph" w:styleId="Index4">
    <w:name w:val="index 4"/>
    <w:basedOn w:val="Normal"/>
    <w:next w:val="Normal"/>
    <w:autoRedefine/>
    <w:uiPriority w:val="99"/>
    <w:unhideWhenUsed/>
    <w:rsid w:val="00C51EA0"/>
    <w:pPr>
      <w:ind w:left="960" w:hanging="240"/>
    </w:pPr>
    <w:rPr>
      <w:sz w:val="18"/>
      <w:szCs w:val="18"/>
    </w:rPr>
  </w:style>
  <w:style w:type="paragraph" w:styleId="Index5">
    <w:name w:val="index 5"/>
    <w:basedOn w:val="Normal"/>
    <w:next w:val="Normal"/>
    <w:autoRedefine/>
    <w:uiPriority w:val="99"/>
    <w:unhideWhenUsed/>
    <w:rsid w:val="00C51EA0"/>
    <w:pPr>
      <w:ind w:left="1200" w:hanging="240"/>
    </w:pPr>
    <w:rPr>
      <w:sz w:val="18"/>
      <w:szCs w:val="18"/>
    </w:rPr>
  </w:style>
  <w:style w:type="paragraph" w:styleId="Index6">
    <w:name w:val="index 6"/>
    <w:basedOn w:val="Normal"/>
    <w:next w:val="Normal"/>
    <w:autoRedefine/>
    <w:uiPriority w:val="99"/>
    <w:unhideWhenUsed/>
    <w:rsid w:val="00C51EA0"/>
    <w:pPr>
      <w:ind w:left="1440" w:hanging="240"/>
    </w:pPr>
    <w:rPr>
      <w:sz w:val="18"/>
      <w:szCs w:val="18"/>
    </w:rPr>
  </w:style>
  <w:style w:type="paragraph" w:styleId="Index7">
    <w:name w:val="index 7"/>
    <w:basedOn w:val="Normal"/>
    <w:next w:val="Normal"/>
    <w:autoRedefine/>
    <w:uiPriority w:val="99"/>
    <w:unhideWhenUsed/>
    <w:rsid w:val="00C51EA0"/>
    <w:pPr>
      <w:ind w:left="1680" w:hanging="240"/>
    </w:pPr>
    <w:rPr>
      <w:sz w:val="18"/>
      <w:szCs w:val="18"/>
    </w:rPr>
  </w:style>
  <w:style w:type="paragraph" w:styleId="Index8">
    <w:name w:val="index 8"/>
    <w:basedOn w:val="Normal"/>
    <w:next w:val="Normal"/>
    <w:autoRedefine/>
    <w:uiPriority w:val="99"/>
    <w:unhideWhenUsed/>
    <w:rsid w:val="00C51EA0"/>
    <w:pPr>
      <w:ind w:left="1920" w:hanging="240"/>
    </w:pPr>
    <w:rPr>
      <w:sz w:val="18"/>
      <w:szCs w:val="18"/>
    </w:rPr>
  </w:style>
  <w:style w:type="paragraph" w:styleId="Index9">
    <w:name w:val="index 9"/>
    <w:basedOn w:val="Normal"/>
    <w:next w:val="Normal"/>
    <w:autoRedefine/>
    <w:uiPriority w:val="99"/>
    <w:unhideWhenUsed/>
    <w:rsid w:val="00C51EA0"/>
    <w:pPr>
      <w:ind w:left="2160" w:hanging="240"/>
    </w:pPr>
    <w:rPr>
      <w:sz w:val="18"/>
      <w:szCs w:val="18"/>
    </w:rPr>
  </w:style>
  <w:style w:type="paragraph" w:styleId="IndexHeading">
    <w:name w:val="index heading"/>
    <w:basedOn w:val="Normal"/>
    <w:next w:val="Index1"/>
    <w:uiPriority w:val="99"/>
    <w:unhideWhenUsed/>
    <w:rsid w:val="00C51EA0"/>
    <w:pPr>
      <w:spacing w:before="240" w:after="120"/>
      <w:jc w:val="center"/>
    </w:pPr>
    <w:rPr>
      <w:b/>
      <w:sz w:val="26"/>
      <w:szCs w:val="26"/>
    </w:rPr>
  </w:style>
  <w:style w:type="paragraph" w:styleId="TOC1">
    <w:name w:val="toc 1"/>
    <w:basedOn w:val="Normal"/>
    <w:next w:val="Normal"/>
    <w:autoRedefine/>
    <w:uiPriority w:val="39"/>
    <w:unhideWhenUsed/>
    <w:rsid w:val="009C3DAF"/>
    <w:pPr>
      <w:tabs>
        <w:tab w:val="left" w:pos="438"/>
        <w:tab w:val="right" w:leader="dot" w:pos="8290"/>
      </w:tabs>
      <w:spacing w:before="120" w:after="0" w:line="300" w:lineRule="auto"/>
    </w:pPr>
    <w:rPr>
      <w:rFonts w:ascii="Cambria" w:hAnsi="Cambria"/>
      <w:b/>
      <w:noProof/>
      <w:color w:val="548DD4"/>
    </w:rPr>
  </w:style>
  <w:style w:type="paragraph" w:styleId="TOC2">
    <w:name w:val="toc 2"/>
    <w:basedOn w:val="Normal"/>
    <w:next w:val="Normal"/>
    <w:autoRedefine/>
    <w:uiPriority w:val="39"/>
    <w:unhideWhenUsed/>
    <w:rsid w:val="00994A76"/>
    <w:pPr>
      <w:tabs>
        <w:tab w:val="left" w:pos="574"/>
        <w:tab w:val="right" w:leader="dot" w:pos="8290"/>
      </w:tabs>
      <w:spacing w:after="0" w:line="360" w:lineRule="auto"/>
    </w:pPr>
  </w:style>
  <w:style w:type="paragraph" w:styleId="TOC3">
    <w:name w:val="toc 3"/>
    <w:basedOn w:val="Normal"/>
    <w:next w:val="Normal"/>
    <w:autoRedefine/>
    <w:uiPriority w:val="39"/>
    <w:unhideWhenUsed/>
    <w:rsid w:val="00853A29"/>
    <w:pPr>
      <w:tabs>
        <w:tab w:val="left" w:pos="1100"/>
        <w:tab w:val="right" w:leader="dot" w:pos="8364"/>
      </w:tabs>
      <w:spacing w:after="0"/>
      <w:ind w:left="220"/>
    </w:pPr>
    <w:rPr>
      <w:i/>
    </w:rPr>
  </w:style>
  <w:style w:type="paragraph" w:styleId="TOC4">
    <w:name w:val="toc 4"/>
    <w:basedOn w:val="Normal"/>
    <w:next w:val="Normal"/>
    <w:autoRedefine/>
    <w:uiPriority w:val="39"/>
    <w:unhideWhenUsed/>
    <w:rsid w:val="00C51EA0"/>
    <w:pPr>
      <w:pBdr>
        <w:between w:val="double" w:sz="6" w:space="0" w:color="auto"/>
      </w:pBdr>
      <w:spacing w:after="0"/>
      <w:ind w:left="440"/>
    </w:pPr>
    <w:rPr>
      <w:sz w:val="20"/>
      <w:szCs w:val="20"/>
    </w:rPr>
  </w:style>
  <w:style w:type="paragraph" w:styleId="TOC5">
    <w:name w:val="toc 5"/>
    <w:basedOn w:val="Normal"/>
    <w:next w:val="Normal"/>
    <w:autoRedefine/>
    <w:uiPriority w:val="39"/>
    <w:unhideWhenUsed/>
    <w:rsid w:val="00C51EA0"/>
    <w:pPr>
      <w:pBdr>
        <w:between w:val="double" w:sz="6" w:space="0" w:color="auto"/>
      </w:pBdr>
      <w:spacing w:after="0"/>
      <w:ind w:left="660"/>
    </w:pPr>
    <w:rPr>
      <w:sz w:val="20"/>
      <w:szCs w:val="20"/>
    </w:rPr>
  </w:style>
  <w:style w:type="paragraph" w:styleId="TOC6">
    <w:name w:val="toc 6"/>
    <w:basedOn w:val="Normal"/>
    <w:next w:val="Normal"/>
    <w:autoRedefine/>
    <w:uiPriority w:val="39"/>
    <w:unhideWhenUsed/>
    <w:rsid w:val="00C51EA0"/>
    <w:pPr>
      <w:pBdr>
        <w:between w:val="double" w:sz="6" w:space="0" w:color="auto"/>
      </w:pBdr>
      <w:spacing w:after="0"/>
      <w:ind w:left="880"/>
    </w:pPr>
    <w:rPr>
      <w:sz w:val="20"/>
      <w:szCs w:val="20"/>
    </w:rPr>
  </w:style>
  <w:style w:type="paragraph" w:styleId="TOC7">
    <w:name w:val="toc 7"/>
    <w:basedOn w:val="Normal"/>
    <w:next w:val="Normal"/>
    <w:autoRedefine/>
    <w:uiPriority w:val="39"/>
    <w:unhideWhenUsed/>
    <w:rsid w:val="00C51EA0"/>
    <w:pPr>
      <w:pBdr>
        <w:between w:val="double" w:sz="6" w:space="0" w:color="auto"/>
      </w:pBdr>
      <w:spacing w:after="0"/>
      <w:ind w:left="1100"/>
    </w:pPr>
    <w:rPr>
      <w:sz w:val="20"/>
      <w:szCs w:val="20"/>
    </w:rPr>
  </w:style>
  <w:style w:type="paragraph" w:styleId="TOC8">
    <w:name w:val="toc 8"/>
    <w:basedOn w:val="Normal"/>
    <w:next w:val="Normal"/>
    <w:autoRedefine/>
    <w:uiPriority w:val="39"/>
    <w:unhideWhenUsed/>
    <w:rsid w:val="00C51EA0"/>
    <w:pPr>
      <w:pBdr>
        <w:between w:val="double" w:sz="6" w:space="0" w:color="auto"/>
      </w:pBdr>
      <w:spacing w:after="0"/>
      <w:ind w:left="1320"/>
    </w:pPr>
    <w:rPr>
      <w:sz w:val="20"/>
      <w:szCs w:val="20"/>
    </w:rPr>
  </w:style>
  <w:style w:type="paragraph" w:styleId="TOC9">
    <w:name w:val="toc 9"/>
    <w:basedOn w:val="Normal"/>
    <w:next w:val="Normal"/>
    <w:autoRedefine/>
    <w:uiPriority w:val="39"/>
    <w:unhideWhenUsed/>
    <w:rsid w:val="00C51EA0"/>
    <w:pPr>
      <w:pBdr>
        <w:between w:val="double" w:sz="6" w:space="0" w:color="auto"/>
      </w:pBdr>
      <w:spacing w:after="0"/>
      <w:ind w:left="1540"/>
    </w:pPr>
    <w:rPr>
      <w:sz w:val="20"/>
      <w:szCs w:val="20"/>
    </w:rPr>
  </w:style>
  <w:style w:type="paragraph" w:styleId="Header">
    <w:name w:val="header"/>
    <w:basedOn w:val="Normal"/>
    <w:link w:val="HeaderChar"/>
    <w:uiPriority w:val="99"/>
    <w:unhideWhenUsed/>
    <w:rsid w:val="008F02B9"/>
    <w:pPr>
      <w:tabs>
        <w:tab w:val="center" w:pos="4153"/>
        <w:tab w:val="right" w:pos="8306"/>
      </w:tabs>
    </w:pPr>
  </w:style>
  <w:style w:type="character" w:customStyle="1" w:styleId="HeaderChar">
    <w:name w:val="Header Char"/>
    <w:basedOn w:val="DefaultParagraphFont"/>
    <w:link w:val="Header"/>
    <w:uiPriority w:val="99"/>
    <w:rsid w:val="008F02B9"/>
    <w:rPr>
      <w:lang w:val="en-US"/>
    </w:rPr>
  </w:style>
  <w:style w:type="paragraph" w:styleId="Footer">
    <w:name w:val="footer"/>
    <w:basedOn w:val="Normal"/>
    <w:link w:val="FooterChar"/>
    <w:uiPriority w:val="99"/>
    <w:unhideWhenUsed/>
    <w:rsid w:val="008F02B9"/>
    <w:pPr>
      <w:tabs>
        <w:tab w:val="center" w:pos="4153"/>
        <w:tab w:val="right" w:pos="8306"/>
      </w:tabs>
    </w:pPr>
  </w:style>
  <w:style w:type="character" w:customStyle="1" w:styleId="FooterChar">
    <w:name w:val="Footer Char"/>
    <w:basedOn w:val="DefaultParagraphFont"/>
    <w:link w:val="Footer"/>
    <w:uiPriority w:val="99"/>
    <w:rsid w:val="008F02B9"/>
    <w:rPr>
      <w:lang w:val="en-US"/>
    </w:rPr>
  </w:style>
  <w:style w:type="character" w:customStyle="1" w:styleId="Heading3Char">
    <w:name w:val="Heading 3 Char"/>
    <w:aliases w:val="Heading3_Titre3 Char"/>
    <w:basedOn w:val="DefaultParagraphFont"/>
    <w:link w:val="Heading3"/>
    <w:uiPriority w:val="9"/>
    <w:rsid w:val="00067B68"/>
    <w:rPr>
      <w:rFonts w:asciiTheme="majorHAnsi" w:eastAsiaTheme="majorEastAsia" w:hAnsiTheme="majorHAnsi" w:cstheme="majorBidi"/>
      <w:b/>
      <w:bCs/>
      <w:color w:val="4F81BD" w:themeColor="accent1"/>
    </w:rPr>
  </w:style>
  <w:style w:type="character" w:customStyle="1" w:styleId="Heading4Char">
    <w:name w:val="Heading 4 Char"/>
    <w:aliases w:val="Heading4_Titre4 Char"/>
    <w:basedOn w:val="DefaultParagraphFont"/>
    <w:link w:val="Heading4"/>
    <w:uiPriority w:val="9"/>
    <w:rsid w:val="00067B6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67B6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67B6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67B6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67B6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67B6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67B68"/>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067B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67B6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67B68"/>
    <w:rPr>
      <w:b/>
      <w:bCs/>
    </w:rPr>
  </w:style>
  <w:style w:type="character" w:styleId="Emphasis">
    <w:name w:val="Emphasis"/>
    <w:basedOn w:val="DefaultParagraphFont"/>
    <w:uiPriority w:val="20"/>
    <w:qFormat/>
    <w:rsid w:val="00067B68"/>
    <w:rPr>
      <w:i/>
      <w:iCs/>
    </w:rPr>
  </w:style>
  <w:style w:type="paragraph" w:styleId="NoSpacing">
    <w:name w:val="No Spacing"/>
    <w:link w:val="NoSpacingChar"/>
    <w:uiPriority w:val="1"/>
    <w:qFormat/>
    <w:rsid w:val="00067B68"/>
    <w:pPr>
      <w:spacing w:after="0" w:line="240" w:lineRule="auto"/>
    </w:pPr>
  </w:style>
  <w:style w:type="paragraph" w:styleId="Quote">
    <w:name w:val="Quote"/>
    <w:basedOn w:val="Normal"/>
    <w:next w:val="Normal"/>
    <w:link w:val="QuoteChar"/>
    <w:uiPriority w:val="29"/>
    <w:qFormat/>
    <w:rsid w:val="00067B68"/>
    <w:rPr>
      <w:i/>
      <w:iCs/>
      <w:color w:val="000000" w:themeColor="text1"/>
    </w:rPr>
  </w:style>
  <w:style w:type="character" w:customStyle="1" w:styleId="QuoteChar">
    <w:name w:val="Quote Char"/>
    <w:basedOn w:val="DefaultParagraphFont"/>
    <w:link w:val="Quote"/>
    <w:uiPriority w:val="29"/>
    <w:rsid w:val="00067B68"/>
    <w:rPr>
      <w:i/>
      <w:iCs/>
      <w:color w:val="000000" w:themeColor="text1"/>
    </w:rPr>
  </w:style>
  <w:style w:type="paragraph" w:styleId="IntenseQuote">
    <w:name w:val="Intense Quote"/>
    <w:basedOn w:val="Normal"/>
    <w:next w:val="Normal"/>
    <w:link w:val="IntenseQuoteChar"/>
    <w:uiPriority w:val="30"/>
    <w:qFormat/>
    <w:rsid w:val="00067B6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67B68"/>
    <w:rPr>
      <w:b/>
      <w:bCs/>
      <w:i/>
      <w:iCs/>
      <w:color w:val="4F81BD" w:themeColor="accent1"/>
    </w:rPr>
  </w:style>
  <w:style w:type="character" w:styleId="SubtleEmphasis">
    <w:name w:val="Subtle Emphasis"/>
    <w:basedOn w:val="DefaultParagraphFont"/>
    <w:uiPriority w:val="19"/>
    <w:qFormat/>
    <w:rsid w:val="00067B68"/>
    <w:rPr>
      <w:i/>
      <w:iCs/>
      <w:color w:val="808080" w:themeColor="text1" w:themeTint="7F"/>
    </w:rPr>
  </w:style>
  <w:style w:type="character" w:styleId="IntenseEmphasis">
    <w:name w:val="Intense Emphasis"/>
    <w:basedOn w:val="DefaultParagraphFont"/>
    <w:uiPriority w:val="21"/>
    <w:qFormat/>
    <w:rsid w:val="00067B68"/>
    <w:rPr>
      <w:b/>
      <w:bCs/>
      <w:i/>
      <w:iCs/>
      <w:color w:val="4F81BD" w:themeColor="accent1"/>
    </w:rPr>
  </w:style>
  <w:style w:type="character" w:styleId="SubtleReference">
    <w:name w:val="Subtle Reference"/>
    <w:basedOn w:val="DefaultParagraphFont"/>
    <w:uiPriority w:val="31"/>
    <w:qFormat/>
    <w:rsid w:val="00067B68"/>
    <w:rPr>
      <w:smallCaps/>
      <w:color w:val="C0504D" w:themeColor="accent2"/>
      <w:u w:val="single"/>
    </w:rPr>
  </w:style>
  <w:style w:type="character" w:styleId="IntenseReference">
    <w:name w:val="Intense Reference"/>
    <w:basedOn w:val="DefaultParagraphFont"/>
    <w:uiPriority w:val="32"/>
    <w:qFormat/>
    <w:rsid w:val="00067B68"/>
    <w:rPr>
      <w:b/>
      <w:bCs/>
      <w:smallCaps/>
      <w:color w:val="C0504D" w:themeColor="accent2"/>
      <w:spacing w:val="5"/>
      <w:u w:val="single"/>
    </w:rPr>
  </w:style>
  <w:style w:type="character" w:styleId="BookTitle">
    <w:name w:val="Book Title"/>
    <w:basedOn w:val="DefaultParagraphFont"/>
    <w:uiPriority w:val="33"/>
    <w:qFormat/>
    <w:rsid w:val="00067B68"/>
    <w:rPr>
      <w:b/>
      <w:bCs/>
      <w:smallCaps/>
      <w:spacing w:val="5"/>
    </w:rPr>
  </w:style>
  <w:style w:type="paragraph" w:styleId="TOCHeading">
    <w:name w:val="TOC Heading"/>
    <w:basedOn w:val="Heading1"/>
    <w:next w:val="Normal"/>
    <w:uiPriority w:val="39"/>
    <w:semiHidden/>
    <w:unhideWhenUsed/>
    <w:qFormat/>
    <w:rsid w:val="00067B68"/>
    <w:pPr>
      <w:outlineLvl w:val="9"/>
    </w:pPr>
  </w:style>
  <w:style w:type="character" w:customStyle="1" w:styleId="NoSpacingChar">
    <w:name w:val="No Spacing Char"/>
    <w:basedOn w:val="DefaultParagraphFont"/>
    <w:link w:val="NoSpacing"/>
    <w:uiPriority w:val="1"/>
    <w:rsid w:val="00067B68"/>
  </w:style>
  <w:style w:type="paragraph" w:customStyle="1" w:styleId="Default">
    <w:name w:val="Default"/>
    <w:rsid w:val="00256367"/>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level5">
    <w:name w:val="level5"/>
    <w:rsid w:val="007D2069"/>
    <w:pPr>
      <w:tabs>
        <w:tab w:val="num" w:pos="1389"/>
      </w:tabs>
      <w:spacing w:after="0" w:line="240" w:lineRule="auto"/>
      <w:ind w:left="1389" w:hanging="453"/>
    </w:pPr>
    <w:rPr>
      <w:rFonts w:ascii="Times New Roman" w:eastAsia="Times New Roman" w:hAnsi="Times New Roman" w:cs="Times New Roman"/>
      <w:sz w:val="24"/>
      <w:szCs w:val="24"/>
      <w:lang w:val="en-GB"/>
    </w:rPr>
  </w:style>
  <w:style w:type="paragraph" w:customStyle="1" w:styleId="level6">
    <w:name w:val="level6"/>
    <w:rsid w:val="007D2069"/>
    <w:pPr>
      <w:tabs>
        <w:tab w:val="num" w:pos="1843"/>
      </w:tabs>
      <w:spacing w:before="120" w:after="0" w:line="240" w:lineRule="auto"/>
      <w:ind w:left="1843" w:hanging="454"/>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713A9B"/>
    <w:rPr>
      <w:sz w:val="16"/>
      <w:szCs w:val="16"/>
    </w:rPr>
  </w:style>
  <w:style w:type="paragraph" w:styleId="CommentText">
    <w:name w:val="annotation text"/>
    <w:basedOn w:val="Normal"/>
    <w:link w:val="CommentTextChar"/>
    <w:uiPriority w:val="99"/>
    <w:unhideWhenUsed/>
    <w:rsid w:val="00713A9B"/>
    <w:pPr>
      <w:spacing w:line="240" w:lineRule="auto"/>
    </w:pPr>
    <w:rPr>
      <w:sz w:val="20"/>
      <w:szCs w:val="20"/>
    </w:rPr>
  </w:style>
  <w:style w:type="character" w:customStyle="1" w:styleId="CommentTextChar">
    <w:name w:val="Comment Text Char"/>
    <w:basedOn w:val="DefaultParagraphFont"/>
    <w:link w:val="CommentText"/>
    <w:uiPriority w:val="99"/>
    <w:rsid w:val="00713A9B"/>
    <w:rPr>
      <w:sz w:val="20"/>
      <w:szCs w:val="20"/>
      <w:lang w:val="en-GB"/>
    </w:rPr>
  </w:style>
  <w:style w:type="paragraph" w:styleId="CommentSubject">
    <w:name w:val="annotation subject"/>
    <w:basedOn w:val="CommentText"/>
    <w:next w:val="CommentText"/>
    <w:link w:val="CommentSubjectChar"/>
    <w:uiPriority w:val="99"/>
    <w:semiHidden/>
    <w:unhideWhenUsed/>
    <w:rsid w:val="00713A9B"/>
    <w:rPr>
      <w:b/>
      <w:bCs/>
    </w:rPr>
  </w:style>
  <w:style w:type="character" w:customStyle="1" w:styleId="CommentSubjectChar">
    <w:name w:val="Comment Subject Char"/>
    <w:basedOn w:val="CommentTextChar"/>
    <w:link w:val="CommentSubject"/>
    <w:uiPriority w:val="99"/>
    <w:semiHidden/>
    <w:rsid w:val="00713A9B"/>
    <w:rPr>
      <w:b/>
      <w:bCs/>
      <w:sz w:val="20"/>
      <w:szCs w:val="20"/>
      <w:lang w:val="en-GB"/>
    </w:rPr>
  </w:style>
  <w:style w:type="paragraph" w:styleId="BalloonText">
    <w:name w:val="Balloon Text"/>
    <w:basedOn w:val="Normal"/>
    <w:link w:val="BalloonTextChar"/>
    <w:uiPriority w:val="99"/>
    <w:semiHidden/>
    <w:unhideWhenUsed/>
    <w:rsid w:val="00713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A9B"/>
    <w:rPr>
      <w:rFonts w:ascii="Tahoma" w:hAnsi="Tahoma" w:cs="Tahoma"/>
      <w:sz w:val="16"/>
      <w:szCs w:val="16"/>
      <w:lang w:val="en-GB"/>
    </w:rPr>
  </w:style>
  <w:style w:type="paragraph" w:styleId="NormalWeb">
    <w:name w:val="Normal (Web)"/>
    <w:basedOn w:val="Normal"/>
    <w:uiPriority w:val="99"/>
    <w:unhideWhenUsed/>
    <w:rsid w:val="00545024"/>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Hyperlink">
    <w:name w:val="Hyperlink"/>
    <w:basedOn w:val="DefaultParagraphFont"/>
    <w:uiPriority w:val="99"/>
    <w:unhideWhenUsed/>
    <w:rsid w:val="00047F20"/>
    <w:rPr>
      <w:color w:val="0000FF" w:themeColor="hyperlink"/>
      <w:u w:val="single"/>
    </w:rPr>
  </w:style>
  <w:style w:type="paragraph" w:styleId="Revision">
    <w:name w:val="Revision"/>
    <w:hidden/>
    <w:uiPriority w:val="99"/>
    <w:semiHidden/>
    <w:rsid w:val="00686576"/>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6597">
      <w:bodyDiv w:val="1"/>
      <w:marLeft w:val="0"/>
      <w:marRight w:val="0"/>
      <w:marTop w:val="0"/>
      <w:marBottom w:val="0"/>
      <w:divBdr>
        <w:top w:val="none" w:sz="0" w:space="0" w:color="auto"/>
        <w:left w:val="none" w:sz="0" w:space="0" w:color="auto"/>
        <w:bottom w:val="none" w:sz="0" w:space="0" w:color="auto"/>
        <w:right w:val="none" w:sz="0" w:space="0" w:color="auto"/>
      </w:divBdr>
    </w:div>
    <w:div w:id="133957715">
      <w:bodyDiv w:val="1"/>
      <w:marLeft w:val="0"/>
      <w:marRight w:val="0"/>
      <w:marTop w:val="0"/>
      <w:marBottom w:val="0"/>
      <w:divBdr>
        <w:top w:val="none" w:sz="0" w:space="0" w:color="auto"/>
        <w:left w:val="none" w:sz="0" w:space="0" w:color="auto"/>
        <w:bottom w:val="none" w:sz="0" w:space="0" w:color="auto"/>
        <w:right w:val="none" w:sz="0" w:space="0" w:color="auto"/>
      </w:divBdr>
    </w:div>
    <w:div w:id="1059942947">
      <w:bodyDiv w:val="1"/>
      <w:marLeft w:val="0"/>
      <w:marRight w:val="0"/>
      <w:marTop w:val="0"/>
      <w:marBottom w:val="0"/>
      <w:divBdr>
        <w:top w:val="none" w:sz="0" w:space="0" w:color="auto"/>
        <w:left w:val="none" w:sz="0" w:space="0" w:color="auto"/>
        <w:bottom w:val="none" w:sz="0" w:space="0" w:color="auto"/>
        <w:right w:val="none" w:sz="0" w:space="0" w:color="auto"/>
      </w:divBdr>
    </w:div>
    <w:div w:id="1512722745">
      <w:bodyDiv w:val="1"/>
      <w:marLeft w:val="0"/>
      <w:marRight w:val="0"/>
      <w:marTop w:val="0"/>
      <w:marBottom w:val="0"/>
      <w:divBdr>
        <w:top w:val="none" w:sz="0" w:space="0" w:color="auto"/>
        <w:left w:val="none" w:sz="0" w:space="0" w:color="auto"/>
        <w:bottom w:val="none" w:sz="0" w:space="0" w:color="auto"/>
        <w:right w:val="none" w:sz="0" w:space="0" w:color="auto"/>
      </w:divBdr>
    </w:div>
    <w:div w:id="2002345885">
      <w:bodyDiv w:val="1"/>
      <w:marLeft w:val="0"/>
      <w:marRight w:val="0"/>
      <w:marTop w:val="0"/>
      <w:marBottom w:val="0"/>
      <w:divBdr>
        <w:top w:val="none" w:sz="0" w:space="0" w:color="auto"/>
        <w:left w:val="none" w:sz="0" w:space="0" w:color="auto"/>
        <w:bottom w:val="none" w:sz="0" w:space="0" w:color="auto"/>
        <w:right w:val="none" w:sz="0" w:space="0" w:color="auto"/>
      </w:divBdr>
      <w:divsChild>
        <w:div w:id="63797446">
          <w:marLeft w:val="0"/>
          <w:marRight w:val="0"/>
          <w:marTop w:val="0"/>
          <w:marBottom w:val="0"/>
          <w:divBdr>
            <w:top w:val="none" w:sz="0" w:space="0" w:color="auto"/>
            <w:left w:val="none" w:sz="0" w:space="0" w:color="auto"/>
            <w:bottom w:val="none" w:sz="0" w:space="0" w:color="auto"/>
            <w:right w:val="none" w:sz="0" w:space="0" w:color="auto"/>
          </w:divBdr>
          <w:divsChild>
            <w:div w:id="1420519865">
              <w:marLeft w:val="0"/>
              <w:marRight w:val="0"/>
              <w:marTop w:val="0"/>
              <w:marBottom w:val="0"/>
              <w:divBdr>
                <w:top w:val="none" w:sz="0" w:space="0" w:color="auto"/>
                <w:left w:val="none" w:sz="0" w:space="0" w:color="auto"/>
                <w:bottom w:val="none" w:sz="0" w:space="0" w:color="auto"/>
                <w:right w:val="none" w:sz="0" w:space="0" w:color="auto"/>
              </w:divBdr>
              <w:divsChild>
                <w:div w:id="1727610116">
                  <w:marLeft w:val="0"/>
                  <w:marRight w:val="0"/>
                  <w:marTop w:val="0"/>
                  <w:marBottom w:val="0"/>
                  <w:divBdr>
                    <w:top w:val="none" w:sz="0" w:space="0" w:color="auto"/>
                    <w:left w:val="none" w:sz="0" w:space="0" w:color="auto"/>
                    <w:bottom w:val="none" w:sz="0" w:space="0" w:color="auto"/>
                    <w:right w:val="none" w:sz="0" w:space="0" w:color="auto"/>
                  </w:divBdr>
                  <w:divsChild>
                    <w:div w:id="1152865559">
                      <w:marLeft w:val="0"/>
                      <w:marRight w:val="0"/>
                      <w:marTop w:val="0"/>
                      <w:marBottom w:val="0"/>
                      <w:divBdr>
                        <w:top w:val="none" w:sz="0" w:space="0" w:color="auto"/>
                        <w:left w:val="none" w:sz="0" w:space="0" w:color="auto"/>
                        <w:bottom w:val="none" w:sz="0" w:space="0" w:color="auto"/>
                        <w:right w:val="none" w:sz="0" w:space="0" w:color="auto"/>
                      </w:divBdr>
                      <w:divsChild>
                        <w:div w:id="224492624">
                          <w:marLeft w:val="0"/>
                          <w:marRight w:val="0"/>
                          <w:marTop w:val="0"/>
                          <w:marBottom w:val="0"/>
                          <w:divBdr>
                            <w:top w:val="none" w:sz="0" w:space="0" w:color="auto"/>
                            <w:left w:val="none" w:sz="0" w:space="0" w:color="auto"/>
                            <w:bottom w:val="none" w:sz="0" w:space="0" w:color="auto"/>
                            <w:right w:val="none" w:sz="0" w:space="0" w:color="auto"/>
                          </w:divBdr>
                          <w:divsChild>
                            <w:div w:id="628366912">
                              <w:marLeft w:val="0"/>
                              <w:marRight w:val="0"/>
                              <w:marTop w:val="0"/>
                              <w:marBottom w:val="0"/>
                              <w:divBdr>
                                <w:top w:val="none" w:sz="0" w:space="0" w:color="auto"/>
                                <w:left w:val="none" w:sz="0" w:space="0" w:color="auto"/>
                                <w:bottom w:val="none" w:sz="0" w:space="0" w:color="auto"/>
                                <w:right w:val="none" w:sz="0" w:space="0" w:color="auto"/>
                              </w:divBdr>
                              <w:divsChild>
                                <w:div w:id="110906998">
                                  <w:marLeft w:val="0"/>
                                  <w:marRight w:val="0"/>
                                  <w:marTop w:val="0"/>
                                  <w:marBottom w:val="0"/>
                                  <w:divBdr>
                                    <w:top w:val="none" w:sz="0" w:space="0" w:color="auto"/>
                                    <w:left w:val="none" w:sz="0" w:space="0" w:color="auto"/>
                                    <w:bottom w:val="none" w:sz="0" w:space="0" w:color="auto"/>
                                    <w:right w:val="none" w:sz="0" w:space="0" w:color="auto"/>
                                  </w:divBdr>
                                  <w:divsChild>
                                    <w:div w:id="1667051226">
                                      <w:marLeft w:val="0"/>
                                      <w:marRight w:val="0"/>
                                      <w:marTop w:val="0"/>
                                      <w:marBottom w:val="0"/>
                                      <w:divBdr>
                                        <w:top w:val="none" w:sz="0" w:space="0" w:color="auto"/>
                                        <w:left w:val="none" w:sz="0" w:space="0" w:color="auto"/>
                                        <w:bottom w:val="none" w:sz="0" w:space="0" w:color="auto"/>
                                        <w:right w:val="none" w:sz="0" w:space="0" w:color="auto"/>
                                      </w:divBdr>
                                      <w:divsChild>
                                        <w:div w:id="1921712220">
                                          <w:marLeft w:val="0"/>
                                          <w:marRight w:val="0"/>
                                          <w:marTop w:val="0"/>
                                          <w:marBottom w:val="0"/>
                                          <w:divBdr>
                                            <w:top w:val="none" w:sz="0" w:space="0" w:color="auto"/>
                                            <w:left w:val="none" w:sz="0" w:space="0" w:color="auto"/>
                                            <w:bottom w:val="none" w:sz="0" w:space="0" w:color="auto"/>
                                            <w:right w:val="none" w:sz="0" w:space="0" w:color="auto"/>
                                          </w:divBdr>
                                          <w:divsChild>
                                            <w:div w:id="10666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4102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fa.de"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fsa-pharma.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ransparency.efpia.eu/the-efpia-code-2"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Issue date : Dd/mm/2016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55ADD0-25EC-4837-BCAB-1B0ECB3F9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3593</Words>
  <Characters>22641</Characters>
  <Application>Microsoft Office Word</Application>
  <DocSecurity>0</DocSecurity>
  <Lines>188</Lines>
  <Paragraphs>52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Methodological note - 2015</vt:lpstr>
      <vt:lpstr>Methodological note - 2015</vt:lpstr>
      <vt:lpstr/>
    </vt:vector>
  </TitlesOfParts>
  <Company>Takeda</Company>
  <LinksUpToDate>false</LinksUpToDate>
  <CharactersWithSpaces>26182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Methodological note - 2015</dc:title>
  <dc:subject>Accompanying  document for the public Transparency of Transfer of Value to Healthcare Professionals and HealthCare Organization in 2015</dc:subject>
  <dc:creator>Takeda local legal entity name</dc:creator>
  <cp:lastModifiedBy>Landbeck, Elisabeth</cp:lastModifiedBy>
  <cp:revision>4</cp:revision>
  <cp:lastPrinted>2016-06-21T11:58:00Z</cp:lastPrinted>
  <dcterms:created xsi:type="dcterms:W3CDTF">2017-06-15T12:06:00Z</dcterms:created>
  <dcterms:modified xsi:type="dcterms:W3CDTF">2017-06-27T11:34:00Z</dcterms:modified>
</cp:coreProperties>
</file>