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rPr>
        <w:id w:val="718245742"/>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10138"/>
          </w:tblGrid>
          <w:tr w:rsidR="00545024" w14:paraId="412FC302" w14:textId="77777777">
            <w:trPr>
              <w:trHeight w:val="2880"/>
              <w:jc w:val="center"/>
            </w:trPr>
            <w:tc>
              <w:tcPr>
                <w:tcW w:w="5000" w:type="pct"/>
              </w:tcPr>
              <w:p w14:paraId="77603720" w14:textId="6F565D05" w:rsidR="00545024" w:rsidRDefault="007F3C26" w:rsidP="009A1C11">
                <w:pPr>
                  <w:pStyle w:val="NoSpacing"/>
                  <w:jc w:val="center"/>
                  <w:rPr>
                    <w:rFonts w:asciiTheme="majorHAnsi" w:eastAsiaTheme="majorEastAsia" w:hAnsiTheme="majorHAnsi" w:cstheme="majorBidi"/>
                    <w:caps/>
                  </w:rPr>
                </w:pPr>
                <w:r w:rsidRPr="00B14943">
                  <w:rPr>
                    <w:noProof/>
                    <w:sz w:val="18"/>
                    <w:szCs w:val="18"/>
                    <w:lang w:val="de-DE" w:eastAsia="de-DE"/>
                  </w:rPr>
                  <w:drawing>
                    <wp:anchor distT="0" distB="0" distL="114300" distR="114300" simplePos="0" relativeHeight="251659264" behindDoc="1" locked="0" layoutInCell="1" allowOverlap="1" wp14:anchorId="7E385401" wp14:editId="2AE77A89">
                      <wp:simplePos x="0" y="0"/>
                      <wp:positionH relativeFrom="column">
                        <wp:posOffset>2142490</wp:posOffset>
                      </wp:positionH>
                      <wp:positionV relativeFrom="paragraph">
                        <wp:posOffset>651822</wp:posOffset>
                      </wp:positionV>
                      <wp:extent cx="2241197" cy="75247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keda.svg.png"/>
                              <pic:cNvPicPr/>
                            </pic:nvPicPr>
                            <pic:blipFill>
                              <a:blip r:embed="rId10">
                                <a:extLst>
                                  <a:ext uri="{28A0092B-C50C-407E-A947-70E740481C1C}">
                                    <a14:useLocalDpi xmlns:a14="http://schemas.microsoft.com/office/drawing/2010/main" val="0"/>
                                  </a:ext>
                                </a:extLst>
                              </a:blip>
                              <a:stretch>
                                <a:fillRect/>
                              </a:stretch>
                            </pic:blipFill>
                            <pic:spPr>
                              <a:xfrm>
                                <a:off x="0" y="0"/>
                                <a:ext cx="2241197" cy="752475"/>
                              </a:xfrm>
                              <a:prstGeom prst="rect">
                                <a:avLst/>
                              </a:prstGeom>
                            </pic:spPr>
                          </pic:pic>
                        </a:graphicData>
                      </a:graphic>
                      <wp14:sizeRelH relativeFrom="page">
                        <wp14:pctWidth>0</wp14:pctWidth>
                      </wp14:sizeRelH>
                      <wp14:sizeRelV relativeFrom="page">
                        <wp14:pctHeight>0</wp14:pctHeight>
                      </wp14:sizeRelV>
                    </wp:anchor>
                  </w:drawing>
                </w:r>
              </w:p>
            </w:tc>
          </w:tr>
          <w:tr w:rsidR="00545024" w14:paraId="4E4714E7" w14:textId="77777777">
            <w:trPr>
              <w:trHeight w:val="1440"/>
              <w:jc w:val="center"/>
            </w:trPr>
            <w:tc>
              <w:tcPr>
                <w:tcW w:w="5000" w:type="pct"/>
                <w:tcBorders>
                  <w:bottom w:val="single" w:sz="4" w:space="0" w:color="4F81BD" w:themeColor="accent1"/>
                </w:tcBorders>
                <w:vAlign w:val="center"/>
              </w:tcPr>
              <w:p w14:paraId="2DC37AC5" w14:textId="77777777" w:rsidR="00274F9B" w:rsidRDefault="00274F9B" w:rsidP="00274F9B">
                <w:pPr>
                  <w:pStyle w:val="NoSpacing"/>
                  <w:jc w:val="center"/>
                  <w:rPr>
                    <w:sz w:val="72"/>
                    <w:szCs w:val="72"/>
                    <w:lang w:val="en-US"/>
                  </w:rPr>
                </w:pPr>
              </w:p>
              <w:p w14:paraId="6058EB48" w14:textId="45900F65" w:rsidR="00545024" w:rsidRPr="00B14943" w:rsidRDefault="001901F9" w:rsidP="00145D80">
                <w:pPr>
                  <w:pStyle w:val="NoSpacing"/>
                  <w:jc w:val="center"/>
                  <w:rPr>
                    <w:rFonts w:asciiTheme="majorHAnsi" w:eastAsiaTheme="majorEastAsia" w:hAnsiTheme="majorHAnsi" w:cstheme="majorBidi"/>
                    <w:sz w:val="80"/>
                    <w:szCs w:val="80"/>
                    <w:lang w:val="en-US"/>
                  </w:rPr>
                </w:pPr>
                <w:r w:rsidRPr="00B14943">
                  <w:rPr>
                    <w:sz w:val="72"/>
                    <w:szCs w:val="72"/>
                    <w:lang w:val="en-US"/>
                  </w:rPr>
                  <w:t xml:space="preserve">Methodological </w:t>
                </w:r>
                <w:r>
                  <w:rPr>
                    <w:sz w:val="72"/>
                    <w:szCs w:val="72"/>
                    <w:lang w:val="en-US"/>
                  </w:rPr>
                  <w:t>N</w:t>
                </w:r>
                <w:r w:rsidRPr="00B14943">
                  <w:rPr>
                    <w:sz w:val="72"/>
                    <w:szCs w:val="72"/>
                    <w:lang w:val="en-US"/>
                  </w:rPr>
                  <w:t>ote - 201</w:t>
                </w:r>
                <w:r w:rsidR="00145D80">
                  <w:rPr>
                    <w:sz w:val="72"/>
                    <w:szCs w:val="72"/>
                    <w:lang w:val="en-US"/>
                  </w:rPr>
                  <w:t>6</w:t>
                </w:r>
              </w:p>
            </w:tc>
          </w:tr>
          <w:tr w:rsidR="00545024" w:rsidRPr="00126FFD" w14:paraId="63CA05F5" w14:textId="77777777">
            <w:trPr>
              <w:trHeight w:val="720"/>
              <w:jc w:val="center"/>
            </w:trPr>
            <w:tc>
              <w:tcPr>
                <w:tcW w:w="5000" w:type="pct"/>
                <w:tcBorders>
                  <w:top w:val="single" w:sz="4" w:space="0" w:color="4F81BD" w:themeColor="accent1"/>
                </w:tcBorders>
                <w:vAlign w:val="center"/>
              </w:tcPr>
              <w:p w14:paraId="17F9C367" w14:textId="52043D2D" w:rsidR="00545024" w:rsidRPr="00614924" w:rsidRDefault="00804FB4" w:rsidP="009F59ED">
                <w:pPr>
                  <w:pStyle w:val="NoSpacing"/>
                  <w:jc w:val="center"/>
                  <w:rPr>
                    <w:rFonts w:asciiTheme="majorHAnsi" w:eastAsiaTheme="majorEastAsia" w:hAnsiTheme="majorHAnsi" w:cstheme="majorBidi"/>
                    <w:sz w:val="44"/>
                    <w:szCs w:val="44"/>
                    <w:lang w:val="en-US"/>
                  </w:rPr>
                </w:pPr>
                <w:r w:rsidRPr="00B14943">
                  <w:rPr>
                    <w:rFonts w:asciiTheme="majorHAnsi" w:eastAsiaTheme="majorEastAsia" w:hAnsiTheme="majorHAnsi" w:cstheme="majorBidi"/>
                    <w:sz w:val="44"/>
                    <w:szCs w:val="44"/>
                    <w:lang w:val="en-US"/>
                  </w:rPr>
                  <w:t>Accompanying  document for the public Transparency of Transfer of Value to Healthcare Professionals and HealthCare Organization</w:t>
                </w:r>
                <w:r w:rsidRPr="00B92BAC">
                  <w:rPr>
                    <w:rFonts w:asciiTheme="majorHAnsi" w:eastAsiaTheme="majorEastAsia" w:hAnsiTheme="majorHAnsi" w:cstheme="majorBidi"/>
                    <w:sz w:val="44"/>
                    <w:szCs w:val="44"/>
                    <w:lang w:val="en-US"/>
                  </w:rPr>
                  <w:t>s</w:t>
                </w:r>
              </w:p>
            </w:tc>
          </w:tr>
          <w:tr w:rsidR="00545024" w:rsidRPr="00126FFD" w14:paraId="120B6B13" w14:textId="77777777">
            <w:trPr>
              <w:trHeight w:val="360"/>
              <w:jc w:val="center"/>
            </w:trPr>
            <w:tc>
              <w:tcPr>
                <w:tcW w:w="5000" w:type="pct"/>
                <w:vAlign w:val="center"/>
              </w:tcPr>
              <w:p w14:paraId="5853630A" w14:textId="77777777" w:rsidR="00545024" w:rsidRPr="00614924" w:rsidRDefault="00545024">
                <w:pPr>
                  <w:pStyle w:val="NoSpacing"/>
                  <w:jc w:val="center"/>
                  <w:rPr>
                    <w:lang w:val="en-US"/>
                  </w:rPr>
                </w:pPr>
              </w:p>
            </w:tc>
          </w:tr>
          <w:tr w:rsidR="00545024" w:rsidRPr="00A1671F" w14:paraId="2E0BE811" w14:textId="77777777">
            <w:trPr>
              <w:trHeight w:val="360"/>
              <w:jc w:val="center"/>
            </w:trPr>
            <w:tc>
              <w:tcPr>
                <w:tcW w:w="5000" w:type="pct"/>
                <w:vAlign w:val="center"/>
              </w:tcPr>
              <w:p w14:paraId="5B1775B8" w14:textId="5BD84F7F" w:rsidR="00545024" w:rsidRPr="00FE325D" w:rsidRDefault="00545024" w:rsidP="00A1671F">
                <w:pPr>
                  <w:pStyle w:val="NoSpacing"/>
                  <w:jc w:val="center"/>
                  <w:rPr>
                    <w:b/>
                    <w:bCs/>
                    <w:color w:val="FF0000"/>
                    <w:lang w:val="de-DE"/>
                  </w:rPr>
                </w:pPr>
                <w:r w:rsidRPr="00BB190B">
                  <w:rPr>
                    <w:b/>
                    <w:bCs/>
                    <w:lang w:val="de-DE"/>
                  </w:rPr>
                  <w:t xml:space="preserve">Takeda </w:t>
                </w:r>
                <w:r w:rsidR="00A1671F" w:rsidRPr="00BB190B">
                  <w:rPr>
                    <w:b/>
                    <w:bCs/>
                    <w:lang w:val="de-DE"/>
                  </w:rPr>
                  <w:t>Pharma Vertrieb GmbH &amp; Co. KG</w:t>
                </w:r>
              </w:p>
            </w:tc>
          </w:tr>
          <w:tr w:rsidR="00545024" w:rsidRPr="009C204E" w14:paraId="3D9C587A" w14:textId="77777777">
            <w:trPr>
              <w:trHeight w:val="360"/>
              <w:jc w:val="center"/>
            </w:trPr>
            <w:tc>
              <w:tcPr>
                <w:tcW w:w="5000" w:type="pct"/>
                <w:vAlign w:val="center"/>
              </w:tcPr>
              <w:p w14:paraId="19D28DF3" w14:textId="282B8542" w:rsidR="00545024" w:rsidRPr="00FE325D" w:rsidRDefault="00804FB4" w:rsidP="00804FB4">
                <w:pPr>
                  <w:pStyle w:val="NoSpacing"/>
                  <w:jc w:val="center"/>
                  <w:rPr>
                    <w:b/>
                    <w:bCs/>
                    <w:lang w:val="de-DE"/>
                  </w:rPr>
                </w:pPr>
                <w:proofErr w:type="spellStart"/>
                <w:r>
                  <w:rPr>
                    <w:b/>
                    <w:bCs/>
                    <w:lang w:val="de-DE"/>
                  </w:rPr>
                  <w:t>Issue</w:t>
                </w:r>
                <w:proofErr w:type="spellEnd"/>
                <w:r>
                  <w:rPr>
                    <w:b/>
                    <w:bCs/>
                    <w:lang w:val="de-DE"/>
                  </w:rPr>
                  <w:t xml:space="preserve"> D</w:t>
                </w:r>
                <w:r w:rsidR="00FE325D" w:rsidRPr="00FE325D">
                  <w:rPr>
                    <w:b/>
                    <w:bCs/>
                    <w:lang w:val="de-DE"/>
                  </w:rPr>
                  <w:t>ate</w:t>
                </w:r>
                <w:r w:rsidR="007F3C26" w:rsidRPr="00FE325D">
                  <w:rPr>
                    <w:b/>
                    <w:bCs/>
                    <w:lang w:val="de-DE"/>
                  </w:rPr>
                  <w:t xml:space="preserve">: </w:t>
                </w:r>
                <w:r w:rsidR="00D7647C">
                  <w:rPr>
                    <w:b/>
                    <w:bCs/>
                    <w:lang w:val="de-DE"/>
                  </w:rPr>
                  <w:t>28</w:t>
                </w:r>
                <w:r w:rsidR="009C204E" w:rsidRPr="00BB190B">
                  <w:rPr>
                    <w:b/>
                    <w:bCs/>
                    <w:lang w:val="de-DE"/>
                  </w:rPr>
                  <w:t>.06.</w:t>
                </w:r>
                <w:r w:rsidR="00145D80">
                  <w:rPr>
                    <w:b/>
                    <w:bCs/>
                    <w:lang w:val="de-DE"/>
                  </w:rPr>
                  <w:t>2017</w:t>
                </w:r>
              </w:p>
            </w:tc>
          </w:tr>
        </w:tbl>
        <w:p w14:paraId="31FB18D0" w14:textId="77777777" w:rsidR="00545024" w:rsidRPr="00FE325D" w:rsidRDefault="00545024">
          <w:pPr>
            <w:rPr>
              <w:lang w:val="de-DE"/>
            </w:rPr>
          </w:pPr>
        </w:p>
        <w:p w14:paraId="302C0488" w14:textId="77777777" w:rsidR="00545024" w:rsidRPr="00FE325D" w:rsidRDefault="00545024">
          <w:pPr>
            <w:rPr>
              <w:lang w:val="de-DE"/>
            </w:rPr>
          </w:pPr>
        </w:p>
        <w:p w14:paraId="46DBBFF7" w14:textId="2283328F" w:rsidR="00545024" w:rsidRPr="00A1671F" w:rsidRDefault="00545024">
          <w:pPr>
            <w:rPr>
              <w:rFonts w:eastAsiaTheme="majorEastAsia" w:cstheme="majorBidi"/>
              <w:color w:val="17365D" w:themeColor="text2" w:themeShade="BF"/>
              <w:spacing w:val="5"/>
              <w:kern w:val="28"/>
              <w:sz w:val="52"/>
              <w:szCs w:val="52"/>
              <w:lang w:val="de-DE"/>
            </w:rPr>
          </w:pPr>
          <w:r w:rsidRPr="00FE325D">
            <w:rPr>
              <w:lang w:val="de-DE"/>
            </w:rPr>
            <w:br w:type="page"/>
          </w:r>
        </w:p>
      </w:sdtContent>
    </w:sdt>
    <w:p w14:paraId="5E067FD3" w14:textId="4A6DEA37" w:rsidR="00BA6C33" w:rsidRPr="00614924" w:rsidRDefault="00DD5ACA" w:rsidP="004525A3">
      <w:pPr>
        <w:pStyle w:val="Title"/>
        <w:jc w:val="both"/>
        <w:rPr>
          <w:rFonts w:asciiTheme="minorHAnsi" w:hAnsiTheme="minorHAnsi"/>
          <w:lang w:val="en-US"/>
        </w:rPr>
      </w:pPr>
      <w:r w:rsidRPr="00614924">
        <w:rPr>
          <w:rFonts w:asciiTheme="minorHAnsi" w:hAnsiTheme="minorHAnsi"/>
          <w:lang w:val="en-US"/>
        </w:rPr>
        <w:lastRenderedPageBreak/>
        <w:t>Method</w:t>
      </w:r>
      <w:r w:rsidR="004547AD" w:rsidRPr="00614924">
        <w:rPr>
          <w:rFonts w:asciiTheme="minorHAnsi" w:hAnsiTheme="minorHAnsi"/>
          <w:lang w:val="en-US"/>
        </w:rPr>
        <w:t>olog</w:t>
      </w:r>
      <w:r w:rsidRPr="00614924">
        <w:rPr>
          <w:rFonts w:asciiTheme="minorHAnsi" w:hAnsiTheme="minorHAnsi"/>
          <w:lang w:val="en-US"/>
        </w:rPr>
        <w:t>ic</w:t>
      </w:r>
      <w:r w:rsidR="004547AD" w:rsidRPr="00614924">
        <w:rPr>
          <w:rFonts w:asciiTheme="minorHAnsi" w:hAnsiTheme="minorHAnsi"/>
          <w:lang w:val="en-US"/>
        </w:rPr>
        <w:t>al Not</w:t>
      </w:r>
      <w:r w:rsidRPr="00614924">
        <w:rPr>
          <w:rFonts w:asciiTheme="minorHAnsi" w:hAnsiTheme="minorHAnsi"/>
          <w:lang w:val="en-US"/>
        </w:rPr>
        <w:t>e</w:t>
      </w:r>
      <w:r w:rsidR="008F02B9" w:rsidRPr="00614924">
        <w:rPr>
          <w:rFonts w:asciiTheme="minorHAnsi" w:hAnsiTheme="minorHAnsi"/>
          <w:lang w:val="en-US"/>
        </w:rPr>
        <w:t xml:space="preserve"> </w:t>
      </w:r>
      <w:r w:rsidR="00AE652C" w:rsidRPr="00614924">
        <w:rPr>
          <w:rFonts w:asciiTheme="minorHAnsi" w:hAnsiTheme="minorHAnsi"/>
          <w:lang w:val="en-US"/>
        </w:rPr>
        <w:t>201</w:t>
      </w:r>
      <w:r w:rsidR="00145D80">
        <w:rPr>
          <w:rFonts w:asciiTheme="minorHAnsi" w:hAnsiTheme="minorHAnsi"/>
          <w:lang w:val="en-US"/>
        </w:rPr>
        <w:t>6</w:t>
      </w:r>
    </w:p>
    <w:bookmarkStart w:id="0" w:name="_Toc311393058"/>
    <w:p w14:paraId="5BA58594" w14:textId="77777777" w:rsidR="00BB190B" w:rsidRPr="00BB190B" w:rsidRDefault="006A2EFC" w:rsidP="00723760">
      <w:pPr>
        <w:pStyle w:val="TOC1"/>
        <w:tabs>
          <w:tab w:val="clear" w:pos="8290"/>
          <w:tab w:val="right" w:leader="dot" w:pos="8364"/>
        </w:tabs>
        <w:rPr>
          <w:rFonts w:asciiTheme="minorHAnsi" w:hAnsiTheme="minorHAnsi"/>
          <w:b w:val="0"/>
          <w:color w:val="auto"/>
          <w:lang w:val="en-US" w:eastAsia="de-DE"/>
        </w:rPr>
      </w:pPr>
      <w:r w:rsidRPr="00853A29">
        <w:rPr>
          <w:rFonts w:asciiTheme="minorHAnsi" w:hAnsiTheme="minorHAnsi"/>
          <w:sz w:val="24"/>
          <w:szCs w:val="24"/>
        </w:rPr>
        <w:fldChar w:fldCharType="begin"/>
      </w:r>
      <w:r w:rsidRPr="00614924">
        <w:rPr>
          <w:rFonts w:asciiTheme="minorHAnsi" w:hAnsiTheme="minorHAnsi"/>
          <w:lang w:val="en-US"/>
        </w:rPr>
        <w:instrText xml:space="preserve"> TOC \o "1-3" </w:instrText>
      </w:r>
      <w:r w:rsidRPr="00853A29">
        <w:rPr>
          <w:rFonts w:asciiTheme="minorHAnsi" w:hAnsiTheme="minorHAnsi"/>
          <w:sz w:val="24"/>
          <w:szCs w:val="24"/>
        </w:rPr>
        <w:fldChar w:fldCharType="separate"/>
      </w:r>
      <w:r w:rsidR="00BB190B" w:rsidRPr="00E70A33">
        <w:rPr>
          <w:rFonts w:asciiTheme="minorHAnsi" w:hAnsiTheme="minorHAnsi"/>
        </w:rPr>
        <w:t>1.</w:t>
      </w:r>
      <w:r w:rsidR="00BB190B" w:rsidRPr="00BB190B">
        <w:rPr>
          <w:rFonts w:asciiTheme="minorHAnsi" w:hAnsiTheme="minorHAnsi"/>
          <w:b w:val="0"/>
          <w:color w:val="auto"/>
          <w:lang w:val="en-US" w:eastAsia="de-DE"/>
        </w:rPr>
        <w:tab/>
      </w:r>
      <w:r w:rsidR="00BB190B" w:rsidRPr="00E70A33">
        <w:rPr>
          <w:rFonts w:asciiTheme="minorHAnsi" w:hAnsiTheme="minorHAnsi"/>
        </w:rPr>
        <w:t>General Introduction</w:t>
      </w:r>
      <w:r w:rsidR="00BB190B">
        <w:tab/>
      </w:r>
      <w:r w:rsidR="00BB190B">
        <w:fldChar w:fldCharType="begin"/>
      </w:r>
      <w:r w:rsidR="00BB190B">
        <w:instrText xml:space="preserve"> PAGEREF _Toc454265269 \h </w:instrText>
      </w:r>
      <w:r w:rsidR="00BB190B">
        <w:fldChar w:fldCharType="separate"/>
      </w:r>
      <w:r w:rsidR="001F0E45">
        <w:t>3</w:t>
      </w:r>
      <w:r w:rsidR="00BB190B">
        <w:fldChar w:fldCharType="end"/>
      </w:r>
    </w:p>
    <w:p w14:paraId="78027872" w14:textId="77777777" w:rsidR="00BB190B" w:rsidRPr="00BB190B" w:rsidRDefault="00BB190B" w:rsidP="00723760">
      <w:pPr>
        <w:pStyle w:val="TOC1"/>
        <w:tabs>
          <w:tab w:val="clear" w:pos="8290"/>
          <w:tab w:val="right" w:leader="dot" w:pos="8364"/>
        </w:tabs>
        <w:rPr>
          <w:rFonts w:asciiTheme="minorHAnsi" w:hAnsiTheme="minorHAnsi"/>
          <w:b w:val="0"/>
          <w:color w:val="auto"/>
          <w:lang w:val="en-US" w:eastAsia="de-DE"/>
        </w:rPr>
      </w:pPr>
      <w:r w:rsidRPr="00BB190B">
        <w:rPr>
          <w:rFonts w:asciiTheme="minorHAnsi" w:hAnsiTheme="minorHAnsi"/>
          <w:lang w:val="en-US"/>
        </w:rPr>
        <w:t>2.</w:t>
      </w:r>
      <w:r w:rsidRPr="00BB190B">
        <w:rPr>
          <w:rFonts w:asciiTheme="minorHAnsi" w:hAnsiTheme="minorHAnsi"/>
          <w:b w:val="0"/>
          <w:color w:val="auto"/>
          <w:lang w:val="en-US" w:eastAsia="de-DE"/>
        </w:rPr>
        <w:tab/>
      </w:r>
      <w:r w:rsidRPr="00BB190B">
        <w:rPr>
          <w:rFonts w:asciiTheme="minorHAnsi" w:hAnsiTheme="minorHAnsi"/>
          <w:lang w:val="en-US"/>
        </w:rPr>
        <w:t>Scope of Disclosure</w:t>
      </w:r>
      <w:r>
        <w:tab/>
      </w:r>
      <w:r>
        <w:fldChar w:fldCharType="begin"/>
      </w:r>
      <w:r>
        <w:instrText xml:space="preserve"> PAGEREF _Toc454265270 \h </w:instrText>
      </w:r>
      <w:r>
        <w:fldChar w:fldCharType="separate"/>
      </w:r>
      <w:r w:rsidR="001F0E45">
        <w:t>3</w:t>
      </w:r>
      <w:r>
        <w:fldChar w:fldCharType="end"/>
      </w:r>
    </w:p>
    <w:p w14:paraId="11D3AD05" w14:textId="77777777" w:rsidR="00BB190B" w:rsidRPr="00BB190B" w:rsidRDefault="00BB190B" w:rsidP="00723760">
      <w:pPr>
        <w:pStyle w:val="TOC2"/>
        <w:tabs>
          <w:tab w:val="clear" w:pos="8290"/>
          <w:tab w:val="right" w:leader="dot" w:pos="8364"/>
        </w:tabs>
        <w:rPr>
          <w:noProof/>
          <w:lang w:val="en-US" w:eastAsia="de-DE"/>
        </w:rPr>
      </w:pPr>
      <w:r w:rsidRPr="00BB190B">
        <w:rPr>
          <w:noProof/>
          <w:lang w:val="en-US"/>
        </w:rPr>
        <w:t>2.1</w:t>
      </w:r>
      <w:r w:rsidRPr="00BB190B">
        <w:rPr>
          <w:noProof/>
          <w:lang w:val="en-US" w:eastAsia="de-DE"/>
        </w:rPr>
        <w:tab/>
      </w:r>
      <w:r w:rsidRPr="00BB190B">
        <w:rPr>
          <w:noProof/>
          <w:lang w:val="en-US"/>
        </w:rPr>
        <w:t>Recipient Scope</w:t>
      </w:r>
      <w:r>
        <w:rPr>
          <w:noProof/>
        </w:rPr>
        <w:tab/>
      </w:r>
      <w:r>
        <w:rPr>
          <w:noProof/>
        </w:rPr>
        <w:fldChar w:fldCharType="begin"/>
      </w:r>
      <w:r>
        <w:rPr>
          <w:noProof/>
        </w:rPr>
        <w:instrText xml:space="preserve"> PAGEREF _Toc454265271 \h </w:instrText>
      </w:r>
      <w:r>
        <w:rPr>
          <w:noProof/>
        </w:rPr>
      </w:r>
      <w:r>
        <w:rPr>
          <w:noProof/>
        </w:rPr>
        <w:fldChar w:fldCharType="separate"/>
      </w:r>
      <w:r w:rsidR="001F0E45">
        <w:rPr>
          <w:noProof/>
        </w:rPr>
        <w:t>3</w:t>
      </w:r>
      <w:r>
        <w:rPr>
          <w:noProof/>
        </w:rPr>
        <w:fldChar w:fldCharType="end"/>
      </w:r>
    </w:p>
    <w:p w14:paraId="00A1592F" w14:textId="21E814BD" w:rsidR="00BB190B" w:rsidRPr="00BB190B" w:rsidRDefault="00BB190B" w:rsidP="00723760">
      <w:pPr>
        <w:pStyle w:val="TOC3"/>
        <w:tabs>
          <w:tab w:val="clear" w:pos="8222"/>
          <w:tab w:val="right" w:leader="dot" w:pos="8364"/>
        </w:tabs>
        <w:rPr>
          <w:noProof/>
          <w:lang w:val="en-US" w:eastAsia="de-DE"/>
        </w:rPr>
      </w:pPr>
      <w:r w:rsidRPr="00BB190B">
        <w:rPr>
          <w:noProof/>
          <w:lang w:val="en-US"/>
        </w:rPr>
        <w:t>2.1.1</w:t>
      </w:r>
      <w:r w:rsidRPr="00BB190B">
        <w:rPr>
          <w:noProof/>
          <w:lang w:val="en-US" w:eastAsia="de-DE"/>
        </w:rPr>
        <w:tab/>
      </w:r>
      <w:r w:rsidRPr="00E70A33">
        <w:rPr>
          <w:noProof/>
          <w:lang w:val="en-US"/>
        </w:rPr>
        <w:t>Healthcare Professionals (HCP):  Definition and Scope</w:t>
      </w:r>
      <w:r w:rsidR="00B35030">
        <w:rPr>
          <w:noProof/>
        </w:rPr>
        <w:t>…………………………………..</w:t>
      </w:r>
      <w:r>
        <w:rPr>
          <w:noProof/>
        </w:rPr>
        <w:fldChar w:fldCharType="begin"/>
      </w:r>
      <w:r>
        <w:rPr>
          <w:noProof/>
        </w:rPr>
        <w:instrText xml:space="preserve"> PAGEREF _Toc454265272 \h </w:instrText>
      </w:r>
      <w:r>
        <w:rPr>
          <w:noProof/>
        </w:rPr>
      </w:r>
      <w:r>
        <w:rPr>
          <w:noProof/>
        </w:rPr>
        <w:fldChar w:fldCharType="separate"/>
      </w:r>
      <w:r w:rsidR="001F0E45">
        <w:rPr>
          <w:noProof/>
        </w:rPr>
        <w:t>3</w:t>
      </w:r>
      <w:r>
        <w:rPr>
          <w:noProof/>
        </w:rPr>
        <w:fldChar w:fldCharType="end"/>
      </w:r>
    </w:p>
    <w:p w14:paraId="48E714AC" w14:textId="4B9374DC" w:rsidR="00BB190B" w:rsidRPr="00BB190B" w:rsidRDefault="00BB190B" w:rsidP="00723760">
      <w:pPr>
        <w:pStyle w:val="TOC3"/>
        <w:tabs>
          <w:tab w:val="clear" w:pos="8222"/>
          <w:tab w:val="right" w:leader="dot" w:pos="8364"/>
        </w:tabs>
        <w:rPr>
          <w:noProof/>
          <w:lang w:val="en-US" w:eastAsia="de-DE"/>
        </w:rPr>
      </w:pPr>
      <w:r w:rsidRPr="00BB190B">
        <w:rPr>
          <w:noProof/>
          <w:lang w:val="en-US"/>
        </w:rPr>
        <w:t>2.1.2</w:t>
      </w:r>
      <w:r w:rsidRPr="00BB190B">
        <w:rPr>
          <w:noProof/>
          <w:lang w:val="en-US" w:eastAsia="de-DE"/>
        </w:rPr>
        <w:tab/>
      </w:r>
      <w:r w:rsidRPr="00E70A33">
        <w:rPr>
          <w:noProof/>
          <w:lang w:val="en-US"/>
        </w:rPr>
        <w:t>Healthcare Organizations (HCO): Definition and Scope</w:t>
      </w:r>
      <w:r w:rsidR="00B35030">
        <w:rPr>
          <w:noProof/>
        </w:rPr>
        <w:t>………………………………….</w:t>
      </w:r>
      <w:r>
        <w:rPr>
          <w:noProof/>
        </w:rPr>
        <w:fldChar w:fldCharType="begin"/>
      </w:r>
      <w:r>
        <w:rPr>
          <w:noProof/>
        </w:rPr>
        <w:instrText xml:space="preserve"> PAGEREF _Toc454265273 \h </w:instrText>
      </w:r>
      <w:r>
        <w:rPr>
          <w:noProof/>
        </w:rPr>
      </w:r>
      <w:r>
        <w:rPr>
          <w:noProof/>
        </w:rPr>
        <w:fldChar w:fldCharType="separate"/>
      </w:r>
      <w:r w:rsidR="001F0E45">
        <w:rPr>
          <w:noProof/>
        </w:rPr>
        <w:t>3</w:t>
      </w:r>
      <w:r>
        <w:rPr>
          <w:noProof/>
        </w:rPr>
        <w:fldChar w:fldCharType="end"/>
      </w:r>
    </w:p>
    <w:p w14:paraId="6410F7F4" w14:textId="20AB2176" w:rsidR="00BB190B" w:rsidRPr="00BB190B" w:rsidRDefault="00BB190B" w:rsidP="00723760">
      <w:pPr>
        <w:pStyle w:val="TOC3"/>
        <w:tabs>
          <w:tab w:val="clear" w:pos="8222"/>
          <w:tab w:val="right" w:leader="dot" w:pos="8364"/>
        </w:tabs>
        <w:rPr>
          <w:noProof/>
          <w:lang w:val="en-US" w:eastAsia="de-DE"/>
        </w:rPr>
      </w:pPr>
      <w:r w:rsidRPr="00BB190B">
        <w:rPr>
          <w:noProof/>
          <w:lang w:val="en-US"/>
        </w:rPr>
        <w:t>2.1.3</w:t>
      </w:r>
      <w:r w:rsidRPr="00BB190B">
        <w:rPr>
          <w:noProof/>
          <w:lang w:val="en-US" w:eastAsia="de-DE"/>
        </w:rPr>
        <w:tab/>
      </w:r>
      <w:r w:rsidRPr="00E70A33">
        <w:rPr>
          <w:noProof/>
          <w:lang w:val="en-US"/>
        </w:rPr>
        <w:t>Companies Owned by a Healthcare Professional</w:t>
      </w:r>
      <w:r w:rsidR="00B35030">
        <w:rPr>
          <w:noProof/>
        </w:rPr>
        <w:t>…………………………………………….</w:t>
      </w:r>
      <w:r>
        <w:rPr>
          <w:noProof/>
        </w:rPr>
        <w:fldChar w:fldCharType="begin"/>
      </w:r>
      <w:r>
        <w:rPr>
          <w:noProof/>
        </w:rPr>
        <w:instrText xml:space="preserve"> PAGEREF _Toc454265274 \h </w:instrText>
      </w:r>
      <w:r>
        <w:rPr>
          <w:noProof/>
        </w:rPr>
      </w:r>
      <w:r>
        <w:rPr>
          <w:noProof/>
        </w:rPr>
        <w:fldChar w:fldCharType="separate"/>
      </w:r>
      <w:r w:rsidR="001F0E45">
        <w:rPr>
          <w:noProof/>
        </w:rPr>
        <w:t>4</w:t>
      </w:r>
      <w:r>
        <w:rPr>
          <w:noProof/>
        </w:rPr>
        <w:fldChar w:fldCharType="end"/>
      </w:r>
    </w:p>
    <w:p w14:paraId="7A053F67" w14:textId="52AB5B3E" w:rsidR="00BB190B" w:rsidRPr="00BB190B" w:rsidRDefault="00BB190B" w:rsidP="00723760">
      <w:pPr>
        <w:pStyle w:val="TOC3"/>
        <w:tabs>
          <w:tab w:val="clear" w:pos="8222"/>
          <w:tab w:val="right" w:leader="dot" w:pos="8364"/>
        </w:tabs>
        <w:rPr>
          <w:noProof/>
          <w:lang w:val="en-US" w:eastAsia="de-DE"/>
        </w:rPr>
      </w:pPr>
      <w:r w:rsidRPr="00BB190B">
        <w:rPr>
          <w:noProof/>
          <w:lang w:val="en-US"/>
        </w:rPr>
        <w:t>2.1.4</w:t>
      </w:r>
      <w:r w:rsidRPr="00BB190B">
        <w:rPr>
          <w:noProof/>
          <w:lang w:val="en-US" w:eastAsia="de-DE"/>
        </w:rPr>
        <w:tab/>
      </w:r>
      <w:r w:rsidRPr="00E70A33">
        <w:rPr>
          <w:noProof/>
        </w:rPr>
        <w:t>Clearly Identifiable Recipient</w:t>
      </w:r>
      <w:r w:rsidR="00B35030">
        <w:rPr>
          <w:noProof/>
        </w:rPr>
        <w:t>…………………………………………………………………………</w:t>
      </w:r>
      <w:r>
        <w:rPr>
          <w:noProof/>
        </w:rPr>
        <w:fldChar w:fldCharType="begin"/>
      </w:r>
      <w:r>
        <w:rPr>
          <w:noProof/>
        </w:rPr>
        <w:instrText xml:space="preserve"> PAGEREF _Toc454265275 \h </w:instrText>
      </w:r>
      <w:r>
        <w:rPr>
          <w:noProof/>
        </w:rPr>
      </w:r>
      <w:r>
        <w:rPr>
          <w:noProof/>
        </w:rPr>
        <w:fldChar w:fldCharType="separate"/>
      </w:r>
      <w:r w:rsidR="001F0E45">
        <w:rPr>
          <w:noProof/>
        </w:rPr>
        <w:t>4</w:t>
      </w:r>
      <w:r>
        <w:rPr>
          <w:noProof/>
        </w:rPr>
        <w:fldChar w:fldCharType="end"/>
      </w:r>
    </w:p>
    <w:p w14:paraId="365E449C" w14:textId="283DE751" w:rsidR="00BB190B" w:rsidRPr="00B35030" w:rsidRDefault="00BB190B" w:rsidP="00723760">
      <w:pPr>
        <w:pStyle w:val="TOC2"/>
        <w:tabs>
          <w:tab w:val="clear" w:pos="8290"/>
          <w:tab w:val="right" w:leader="dot" w:pos="8364"/>
        </w:tabs>
        <w:rPr>
          <w:noProof/>
        </w:rPr>
      </w:pPr>
      <w:r w:rsidRPr="00E70A33">
        <w:rPr>
          <w:noProof/>
        </w:rPr>
        <w:t>2.2</w:t>
      </w:r>
      <w:r w:rsidRPr="00BB190B">
        <w:rPr>
          <w:noProof/>
          <w:lang w:val="en-US" w:eastAsia="de-DE"/>
        </w:rPr>
        <w:tab/>
      </w:r>
      <w:r w:rsidRPr="00E70A33">
        <w:rPr>
          <w:noProof/>
        </w:rPr>
        <w:t>Medicinal Scope</w:t>
      </w:r>
      <w:r>
        <w:rPr>
          <w:noProof/>
        </w:rPr>
        <w:tab/>
      </w:r>
      <w:r>
        <w:rPr>
          <w:noProof/>
        </w:rPr>
        <w:fldChar w:fldCharType="begin"/>
      </w:r>
      <w:r>
        <w:rPr>
          <w:noProof/>
        </w:rPr>
        <w:instrText xml:space="preserve"> PAGEREF _Toc454265276 \h </w:instrText>
      </w:r>
      <w:r>
        <w:rPr>
          <w:noProof/>
        </w:rPr>
      </w:r>
      <w:r>
        <w:rPr>
          <w:noProof/>
        </w:rPr>
        <w:fldChar w:fldCharType="separate"/>
      </w:r>
      <w:r w:rsidR="001F0E45">
        <w:rPr>
          <w:noProof/>
        </w:rPr>
        <w:t>4</w:t>
      </w:r>
      <w:r>
        <w:rPr>
          <w:noProof/>
        </w:rPr>
        <w:fldChar w:fldCharType="end"/>
      </w:r>
    </w:p>
    <w:p w14:paraId="597AE79E" w14:textId="77777777" w:rsidR="00BB190B" w:rsidRPr="00BB190B" w:rsidRDefault="00BB190B" w:rsidP="00723760">
      <w:pPr>
        <w:pStyle w:val="TOC2"/>
        <w:tabs>
          <w:tab w:val="clear" w:pos="8290"/>
          <w:tab w:val="right" w:leader="dot" w:pos="8364"/>
        </w:tabs>
        <w:rPr>
          <w:noProof/>
          <w:lang w:val="en-US" w:eastAsia="de-DE"/>
        </w:rPr>
      </w:pPr>
      <w:r w:rsidRPr="00E70A33">
        <w:rPr>
          <w:noProof/>
        </w:rPr>
        <w:t>2.3</w:t>
      </w:r>
      <w:r w:rsidRPr="00BB190B">
        <w:rPr>
          <w:noProof/>
          <w:lang w:val="en-US" w:eastAsia="de-DE"/>
        </w:rPr>
        <w:tab/>
      </w:r>
      <w:r w:rsidRPr="00E70A33">
        <w:rPr>
          <w:noProof/>
        </w:rPr>
        <w:t>Scope regarding Transfer of Value activities</w:t>
      </w:r>
      <w:r>
        <w:rPr>
          <w:noProof/>
        </w:rPr>
        <w:tab/>
      </w:r>
      <w:r>
        <w:rPr>
          <w:noProof/>
        </w:rPr>
        <w:fldChar w:fldCharType="begin"/>
      </w:r>
      <w:r>
        <w:rPr>
          <w:noProof/>
        </w:rPr>
        <w:instrText xml:space="preserve"> PAGEREF _Toc454265277 \h </w:instrText>
      </w:r>
      <w:r>
        <w:rPr>
          <w:noProof/>
        </w:rPr>
      </w:r>
      <w:r>
        <w:rPr>
          <w:noProof/>
        </w:rPr>
        <w:fldChar w:fldCharType="separate"/>
      </w:r>
      <w:r w:rsidR="001F0E45">
        <w:rPr>
          <w:noProof/>
        </w:rPr>
        <w:t>4</w:t>
      </w:r>
      <w:r>
        <w:rPr>
          <w:noProof/>
        </w:rPr>
        <w:fldChar w:fldCharType="end"/>
      </w:r>
    </w:p>
    <w:p w14:paraId="5B147529" w14:textId="77777777" w:rsidR="00BB190B" w:rsidRPr="00BB190B" w:rsidRDefault="00BB190B" w:rsidP="00723760">
      <w:pPr>
        <w:pStyle w:val="TOC3"/>
        <w:tabs>
          <w:tab w:val="clear" w:pos="8222"/>
          <w:tab w:val="right" w:leader="dot" w:pos="8364"/>
        </w:tabs>
        <w:rPr>
          <w:noProof/>
          <w:lang w:val="en-US" w:eastAsia="de-DE"/>
        </w:rPr>
      </w:pPr>
      <w:r w:rsidRPr="00E70A33">
        <w:rPr>
          <w:noProof/>
          <w:lang w:val="en-US"/>
        </w:rPr>
        <w:t>2.3.1</w:t>
      </w:r>
      <w:r w:rsidRPr="00BB190B">
        <w:rPr>
          <w:noProof/>
          <w:lang w:val="en-US" w:eastAsia="de-DE"/>
        </w:rPr>
        <w:tab/>
      </w:r>
      <w:r w:rsidRPr="00E70A33">
        <w:rPr>
          <w:noProof/>
          <w:lang w:val="en-US"/>
        </w:rPr>
        <w:t>Grants and Donations to Healthcare Organizations (HCO)</w:t>
      </w:r>
      <w:r>
        <w:rPr>
          <w:noProof/>
        </w:rPr>
        <w:tab/>
      </w:r>
      <w:r>
        <w:rPr>
          <w:noProof/>
        </w:rPr>
        <w:fldChar w:fldCharType="begin"/>
      </w:r>
      <w:r>
        <w:rPr>
          <w:noProof/>
        </w:rPr>
        <w:instrText xml:space="preserve"> PAGEREF _Toc454265278 \h </w:instrText>
      </w:r>
      <w:r>
        <w:rPr>
          <w:noProof/>
        </w:rPr>
      </w:r>
      <w:r>
        <w:rPr>
          <w:noProof/>
        </w:rPr>
        <w:fldChar w:fldCharType="separate"/>
      </w:r>
      <w:r w:rsidR="001F0E45">
        <w:rPr>
          <w:noProof/>
        </w:rPr>
        <w:t>4</w:t>
      </w:r>
      <w:r>
        <w:rPr>
          <w:noProof/>
        </w:rPr>
        <w:fldChar w:fldCharType="end"/>
      </w:r>
    </w:p>
    <w:p w14:paraId="3ADF7ACA" w14:textId="77777777" w:rsidR="00BB190B" w:rsidRPr="00BB190B" w:rsidRDefault="00BB190B" w:rsidP="00723760">
      <w:pPr>
        <w:pStyle w:val="TOC3"/>
        <w:tabs>
          <w:tab w:val="clear" w:pos="8222"/>
          <w:tab w:val="right" w:leader="dot" w:pos="8364"/>
        </w:tabs>
        <w:rPr>
          <w:noProof/>
          <w:lang w:val="en-US" w:eastAsia="de-DE"/>
        </w:rPr>
      </w:pPr>
      <w:r w:rsidRPr="00E70A33">
        <w:rPr>
          <w:noProof/>
        </w:rPr>
        <w:t>2.3.2</w:t>
      </w:r>
      <w:r w:rsidRPr="00BB190B">
        <w:rPr>
          <w:noProof/>
          <w:lang w:val="en-US" w:eastAsia="de-DE"/>
        </w:rPr>
        <w:tab/>
      </w:r>
      <w:r w:rsidRPr="00E70A33">
        <w:rPr>
          <w:noProof/>
        </w:rPr>
        <w:t>Contributions to Costs of Events</w:t>
      </w:r>
      <w:r>
        <w:rPr>
          <w:noProof/>
        </w:rPr>
        <w:tab/>
      </w:r>
      <w:r>
        <w:rPr>
          <w:noProof/>
        </w:rPr>
        <w:fldChar w:fldCharType="begin"/>
      </w:r>
      <w:r>
        <w:rPr>
          <w:noProof/>
        </w:rPr>
        <w:instrText xml:space="preserve"> PAGEREF _Toc454265279 \h </w:instrText>
      </w:r>
      <w:r>
        <w:rPr>
          <w:noProof/>
        </w:rPr>
      </w:r>
      <w:r>
        <w:rPr>
          <w:noProof/>
        </w:rPr>
        <w:fldChar w:fldCharType="separate"/>
      </w:r>
      <w:r w:rsidR="001F0E45">
        <w:rPr>
          <w:noProof/>
        </w:rPr>
        <w:t>5</w:t>
      </w:r>
      <w:r>
        <w:rPr>
          <w:noProof/>
        </w:rPr>
        <w:fldChar w:fldCharType="end"/>
      </w:r>
    </w:p>
    <w:p w14:paraId="2A766982" w14:textId="77777777" w:rsidR="00BB190B" w:rsidRPr="00BB190B" w:rsidRDefault="00BB190B" w:rsidP="00723760">
      <w:pPr>
        <w:pStyle w:val="TOC3"/>
        <w:tabs>
          <w:tab w:val="clear" w:pos="8222"/>
          <w:tab w:val="right" w:leader="dot" w:pos="8364"/>
        </w:tabs>
        <w:rPr>
          <w:noProof/>
          <w:lang w:val="en-US" w:eastAsia="de-DE"/>
        </w:rPr>
      </w:pPr>
      <w:r w:rsidRPr="00E70A33">
        <w:rPr>
          <w:noProof/>
        </w:rPr>
        <w:t>2.3.3</w:t>
      </w:r>
      <w:r w:rsidRPr="00BB190B">
        <w:rPr>
          <w:noProof/>
          <w:lang w:val="en-US" w:eastAsia="de-DE"/>
        </w:rPr>
        <w:tab/>
      </w:r>
      <w:r w:rsidRPr="00E70A33">
        <w:rPr>
          <w:noProof/>
        </w:rPr>
        <w:t>Fees for Services and Consultancy</w:t>
      </w:r>
      <w:r>
        <w:rPr>
          <w:noProof/>
        </w:rPr>
        <w:tab/>
      </w:r>
      <w:r>
        <w:rPr>
          <w:noProof/>
        </w:rPr>
        <w:fldChar w:fldCharType="begin"/>
      </w:r>
      <w:r>
        <w:rPr>
          <w:noProof/>
        </w:rPr>
        <w:instrText xml:space="preserve"> PAGEREF _Toc454265280 \h </w:instrText>
      </w:r>
      <w:r>
        <w:rPr>
          <w:noProof/>
        </w:rPr>
      </w:r>
      <w:r>
        <w:rPr>
          <w:noProof/>
        </w:rPr>
        <w:fldChar w:fldCharType="separate"/>
      </w:r>
      <w:r w:rsidR="001F0E45">
        <w:rPr>
          <w:noProof/>
        </w:rPr>
        <w:t>5</w:t>
      </w:r>
      <w:r>
        <w:rPr>
          <w:noProof/>
        </w:rPr>
        <w:fldChar w:fldCharType="end"/>
      </w:r>
    </w:p>
    <w:p w14:paraId="1BBA56B4" w14:textId="77777777" w:rsidR="00BB190B" w:rsidRPr="00BB190B" w:rsidRDefault="00BB190B" w:rsidP="00723760">
      <w:pPr>
        <w:pStyle w:val="TOC3"/>
        <w:tabs>
          <w:tab w:val="clear" w:pos="8222"/>
          <w:tab w:val="right" w:leader="dot" w:pos="8364"/>
        </w:tabs>
        <w:rPr>
          <w:noProof/>
          <w:lang w:val="en-US" w:eastAsia="de-DE"/>
        </w:rPr>
      </w:pPr>
      <w:r w:rsidRPr="00BB190B">
        <w:rPr>
          <w:noProof/>
          <w:lang w:val="en-US"/>
        </w:rPr>
        <w:t>2.3.4</w:t>
      </w:r>
      <w:r w:rsidRPr="00BB190B">
        <w:rPr>
          <w:noProof/>
          <w:lang w:val="en-US" w:eastAsia="de-DE"/>
        </w:rPr>
        <w:tab/>
      </w:r>
      <w:r w:rsidRPr="00BB190B">
        <w:rPr>
          <w:noProof/>
          <w:lang w:val="en-US"/>
        </w:rPr>
        <w:t>Research &amp; Development</w:t>
      </w:r>
      <w:r>
        <w:rPr>
          <w:noProof/>
        </w:rPr>
        <w:tab/>
      </w:r>
      <w:r>
        <w:rPr>
          <w:noProof/>
        </w:rPr>
        <w:fldChar w:fldCharType="begin"/>
      </w:r>
      <w:r>
        <w:rPr>
          <w:noProof/>
        </w:rPr>
        <w:instrText xml:space="preserve"> PAGEREF _Toc454265281 \h </w:instrText>
      </w:r>
      <w:r>
        <w:rPr>
          <w:noProof/>
        </w:rPr>
      </w:r>
      <w:r>
        <w:rPr>
          <w:noProof/>
        </w:rPr>
        <w:fldChar w:fldCharType="separate"/>
      </w:r>
      <w:r w:rsidR="001F0E45">
        <w:rPr>
          <w:noProof/>
        </w:rPr>
        <w:t>6</w:t>
      </w:r>
      <w:r>
        <w:rPr>
          <w:noProof/>
        </w:rPr>
        <w:fldChar w:fldCharType="end"/>
      </w:r>
    </w:p>
    <w:p w14:paraId="569CECE3" w14:textId="77777777" w:rsidR="00BB190B" w:rsidRPr="00BB190B" w:rsidRDefault="00BB190B" w:rsidP="00723760">
      <w:pPr>
        <w:pStyle w:val="TOC2"/>
        <w:tabs>
          <w:tab w:val="clear" w:pos="8290"/>
          <w:tab w:val="right" w:leader="dot" w:pos="8364"/>
        </w:tabs>
        <w:rPr>
          <w:noProof/>
          <w:lang w:val="en-US" w:eastAsia="de-DE"/>
        </w:rPr>
      </w:pPr>
      <w:r w:rsidRPr="00E70A33">
        <w:rPr>
          <w:noProof/>
        </w:rPr>
        <w:t>2.4</w:t>
      </w:r>
      <w:r w:rsidRPr="00BB190B">
        <w:rPr>
          <w:noProof/>
          <w:lang w:val="en-US" w:eastAsia="de-DE"/>
        </w:rPr>
        <w:tab/>
      </w:r>
      <w:r w:rsidRPr="00E70A33">
        <w:rPr>
          <w:noProof/>
        </w:rPr>
        <w:t>Transfer of Value in Cross-Border Interactions</w:t>
      </w:r>
      <w:r>
        <w:rPr>
          <w:noProof/>
        </w:rPr>
        <w:tab/>
      </w:r>
      <w:r>
        <w:rPr>
          <w:noProof/>
        </w:rPr>
        <w:fldChar w:fldCharType="begin"/>
      </w:r>
      <w:r>
        <w:rPr>
          <w:noProof/>
        </w:rPr>
        <w:instrText xml:space="preserve"> PAGEREF _Toc454265282 \h </w:instrText>
      </w:r>
      <w:r>
        <w:rPr>
          <w:noProof/>
        </w:rPr>
      </w:r>
      <w:r>
        <w:rPr>
          <w:noProof/>
        </w:rPr>
        <w:fldChar w:fldCharType="separate"/>
      </w:r>
      <w:r w:rsidR="001F0E45">
        <w:rPr>
          <w:noProof/>
        </w:rPr>
        <w:t>7</w:t>
      </w:r>
      <w:r>
        <w:rPr>
          <w:noProof/>
        </w:rPr>
        <w:fldChar w:fldCharType="end"/>
      </w:r>
    </w:p>
    <w:p w14:paraId="5D38B4D4" w14:textId="77777777" w:rsidR="00BB190B" w:rsidRPr="00BB190B" w:rsidRDefault="00BB190B" w:rsidP="00723760">
      <w:pPr>
        <w:pStyle w:val="TOC1"/>
        <w:tabs>
          <w:tab w:val="clear" w:pos="8290"/>
          <w:tab w:val="right" w:leader="dot" w:pos="8364"/>
        </w:tabs>
        <w:rPr>
          <w:rFonts w:asciiTheme="minorHAnsi" w:hAnsiTheme="minorHAnsi"/>
          <w:b w:val="0"/>
          <w:color w:val="auto"/>
          <w:lang w:val="en-US" w:eastAsia="de-DE"/>
        </w:rPr>
      </w:pPr>
      <w:r w:rsidRPr="00E70A33">
        <w:rPr>
          <w:rFonts w:asciiTheme="minorHAnsi" w:hAnsiTheme="minorHAnsi"/>
          <w:lang w:val="en-US"/>
        </w:rPr>
        <w:t>3.</w:t>
      </w:r>
      <w:r w:rsidRPr="00BB190B">
        <w:rPr>
          <w:rFonts w:asciiTheme="minorHAnsi" w:hAnsiTheme="minorHAnsi"/>
          <w:b w:val="0"/>
          <w:color w:val="auto"/>
          <w:lang w:val="en-US" w:eastAsia="de-DE"/>
        </w:rPr>
        <w:tab/>
      </w:r>
      <w:r w:rsidRPr="00E70A33">
        <w:rPr>
          <w:rFonts w:asciiTheme="minorHAnsi" w:hAnsiTheme="minorHAnsi"/>
          <w:lang w:val="en-US"/>
        </w:rPr>
        <w:t>Private Consent to Disclosure and Aggregate Amount</w:t>
      </w:r>
      <w:r>
        <w:tab/>
      </w:r>
      <w:r>
        <w:fldChar w:fldCharType="begin"/>
      </w:r>
      <w:r>
        <w:instrText xml:space="preserve"> PAGEREF _Toc454265283 \h </w:instrText>
      </w:r>
      <w:r>
        <w:fldChar w:fldCharType="separate"/>
      </w:r>
      <w:r w:rsidR="001F0E45">
        <w:t>7</w:t>
      </w:r>
      <w:r>
        <w:fldChar w:fldCharType="end"/>
      </w:r>
    </w:p>
    <w:p w14:paraId="637E0639" w14:textId="77777777" w:rsidR="00BB190B" w:rsidRPr="00BB190B" w:rsidRDefault="00BB190B" w:rsidP="00723760">
      <w:pPr>
        <w:pStyle w:val="TOC1"/>
        <w:tabs>
          <w:tab w:val="clear" w:pos="8290"/>
          <w:tab w:val="right" w:leader="dot" w:pos="8364"/>
        </w:tabs>
        <w:rPr>
          <w:rFonts w:asciiTheme="minorHAnsi" w:hAnsiTheme="minorHAnsi"/>
          <w:b w:val="0"/>
          <w:color w:val="auto"/>
          <w:lang w:val="en-US" w:eastAsia="de-DE"/>
        </w:rPr>
      </w:pPr>
      <w:r w:rsidRPr="00E70A33">
        <w:rPr>
          <w:rFonts w:asciiTheme="minorHAnsi" w:hAnsiTheme="minorHAnsi"/>
          <w:color w:val="4F81BD" w:themeColor="accent1"/>
          <w:lang w:val="en-US"/>
        </w:rPr>
        <w:t>4.1 Date of Transfer of Value</w:t>
      </w:r>
      <w:r>
        <w:tab/>
      </w:r>
      <w:r>
        <w:fldChar w:fldCharType="begin"/>
      </w:r>
      <w:r>
        <w:instrText xml:space="preserve"> PAGEREF _Toc454265284 \h </w:instrText>
      </w:r>
      <w:r>
        <w:fldChar w:fldCharType="separate"/>
      </w:r>
      <w:r w:rsidR="001F0E45">
        <w:t>8</w:t>
      </w:r>
      <w:r>
        <w:fldChar w:fldCharType="end"/>
      </w:r>
    </w:p>
    <w:p w14:paraId="74C1B768" w14:textId="77777777" w:rsidR="00BB190B" w:rsidRPr="00BB190B" w:rsidRDefault="00BB190B" w:rsidP="00723760">
      <w:pPr>
        <w:pStyle w:val="TOC2"/>
        <w:tabs>
          <w:tab w:val="clear" w:pos="8290"/>
          <w:tab w:val="right" w:leader="dot" w:pos="8364"/>
        </w:tabs>
        <w:rPr>
          <w:noProof/>
          <w:lang w:val="en-US" w:eastAsia="de-DE"/>
        </w:rPr>
      </w:pPr>
      <w:r w:rsidRPr="00E70A33">
        <w:rPr>
          <w:noProof/>
          <w:lang w:val="en-US"/>
        </w:rPr>
        <w:t>4.2 Currency</w:t>
      </w:r>
      <w:r>
        <w:rPr>
          <w:noProof/>
        </w:rPr>
        <w:tab/>
      </w:r>
      <w:r>
        <w:rPr>
          <w:noProof/>
        </w:rPr>
        <w:fldChar w:fldCharType="begin"/>
      </w:r>
      <w:r>
        <w:rPr>
          <w:noProof/>
        </w:rPr>
        <w:instrText xml:space="preserve"> PAGEREF _Toc454265285 \h </w:instrText>
      </w:r>
      <w:r>
        <w:rPr>
          <w:noProof/>
        </w:rPr>
      </w:r>
      <w:r>
        <w:rPr>
          <w:noProof/>
        </w:rPr>
        <w:fldChar w:fldCharType="separate"/>
      </w:r>
      <w:r w:rsidR="001F0E45">
        <w:rPr>
          <w:noProof/>
        </w:rPr>
        <w:t>8</w:t>
      </w:r>
      <w:r>
        <w:rPr>
          <w:noProof/>
        </w:rPr>
        <w:fldChar w:fldCharType="end"/>
      </w:r>
    </w:p>
    <w:p w14:paraId="46A616E7" w14:textId="77777777" w:rsidR="00BB190B" w:rsidRPr="00BB190B" w:rsidRDefault="00BB190B" w:rsidP="00723760">
      <w:pPr>
        <w:pStyle w:val="TOC2"/>
        <w:tabs>
          <w:tab w:val="clear" w:pos="8290"/>
          <w:tab w:val="right" w:leader="dot" w:pos="8364"/>
        </w:tabs>
        <w:rPr>
          <w:noProof/>
          <w:lang w:val="en-US" w:eastAsia="de-DE"/>
        </w:rPr>
      </w:pPr>
      <w:r w:rsidRPr="00E70A33">
        <w:rPr>
          <w:noProof/>
          <w:lang w:val="en-US"/>
        </w:rPr>
        <w:t>4.3 Taxes</w:t>
      </w:r>
      <w:r>
        <w:rPr>
          <w:noProof/>
        </w:rPr>
        <w:tab/>
      </w:r>
      <w:r>
        <w:rPr>
          <w:noProof/>
        </w:rPr>
        <w:fldChar w:fldCharType="begin"/>
      </w:r>
      <w:r>
        <w:rPr>
          <w:noProof/>
        </w:rPr>
        <w:instrText xml:space="preserve"> PAGEREF _Toc454265286 \h </w:instrText>
      </w:r>
      <w:r>
        <w:rPr>
          <w:noProof/>
        </w:rPr>
      </w:r>
      <w:r>
        <w:rPr>
          <w:noProof/>
        </w:rPr>
        <w:fldChar w:fldCharType="separate"/>
      </w:r>
      <w:r w:rsidR="001F0E45">
        <w:rPr>
          <w:noProof/>
        </w:rPr>
        <w:t>8</w:t>
      </w:r>
      <w:r>
        <w:rPr>
          <w:noProof/>
        </w:rPr>
        <w:fldChar w:fldCharType="end"/>
      </w:r>
    </w:p>
    <w:p w14:paraId="6CC97B00" w14:textId="77777777" w:rsidR="00BB190B" w:rsidRPr="00BB190B" w:rsidRDefault="00BB190B" w:rsidP="00723760">
      <w:pPr>
        <w:pStyle w:val="TOC2"/>
        <w:tabs>
          <w:tab w:val="clear" w:pos="8290"/>
          <w:tab w:val="right" w:leader="dot" w:pos="8364"/>
        </w:tabs>
        <w:rPr>
          <w:noProof/>
          <w:lang w:val="en-US" w:eastAsia="de-DE"/>
        </w:rPr>
      </w:pPr>
      <w:r w:rsidRPr="00BB190B">
        <w:rPr>
          <w:noProof/>
          <w:lang w:val="en-US"/>
        </w:rPr>
        <w:t>4.4 Value-Added Tax (VAT)</w:t>
      </w:r>
      <w:r w:rsidRPr="00BB190B">
        <w:rPr>
          <w:noProof/>
        </w:rPr>
        <w:tab/>
      </w:r>
      <w:r w:rsidRPr="00BB190B">
        <w:rPr>
          <w:noProof/>
        </w:rPr>
        <w:fldChar w:fldCharType="begin"/>
      </w:r>
      <w:r w:rsidRPr="00BB190B">
        <w:rPr>
          <w:noProof/>
        </w:rPr>
        <w:instrText xml:space="preserve"> PAGEREF _Toc454265287 \h </w:instrText>
      </w:r>
      <w:r w:rsidRPr="00BB190B">
        <w:rPr>
          <w:noProof/>
        </w:rPr>
      </w:r>
      <w:r w:rsidRPr="00BB190B">
        <w:rPr>
          <w:noProof/>
        </w:rPr>
        <w:fldChar w:fldCharType="separate"/>
      </w:r>
      <w:r w:rsidR="001F0E45">
        <w:rPr>
          <w:noProof/>
        </w:rPr>
        <w:t>9</w:t>
      </w:r>
      <w:r w:rsidRPr="00BB190B">
        <w:rPr>
          <w:noProof/>
        </w:rPr>
        <w:fldChar w:fldCharType="end"/>
      </w:r>
    </w:p>
    <w:p w14:paraId="08809C19" w14:textId="77777777" w:rsidR="00BB190B" w:rsidRPr="00B35030" w:rsidRDefault="00BB190B" w:rsidP="00723760">
      <w:pPr>
        <w:pStyle w:val="TOC1"/>
        <w:tabs>
          <w:tab w:val="clear" w:pos="8290"/>
          <w:tab w:val="right" w:leader="dot" w:pos="8364"/>
        </w:tabs>
        <w:rPr>
          <w:rFonts w:asciiTheme="minorHAnsi" w:hAnsiTheme="minorHAnsi"/>
          <w:lang w:val="en-US"/>
        </w:rPr>
      </w:pPr>
      <w:r w:rsidRPr="00B35030">
        <w:rPr>
          <w:rFonts w:asciiTheme="minorHAnsi" w:hAnsiTheme="minorHAnsi"/>
          <w:lang w:val="en-US"/>
        </w:rPr>
        <w:t>5. Other General Provisions</w:t>
      </w:r>
      <w:r w:rsidRPr="00B35030">
        <w:rPr>
          <w:rFonts w:asciiTheme="minorHAnsi" w:hAnsiTheme="minorHAnsi"/>
          <w:lang w:val="en-US"/>
        </w:rPr>
        <w:tab/>
      </w:r>
      <w:r w:rsidRPr="00B35030">
        <w:rPr>
          <w:rFonts w:asciiTheme="minorHAnsi" w:hAnsiTheme="minorHAnsi"/>
          <w:lang w:val="en-US"/>
        </w:rPr>
        <w:fldChar w:fldCharType="begin"/>
      </w:r>
      <w:r w:rsidRPr="00B35030">
        <w:rPr>
          <w:rFonts w:asciiTheme="minorHAnsi" w:hAnsiTheme="minorHAnsi"/>
          <w:lang w:val="en-US"/>
        </w:rPr>
        <w:instrText xml:space="preserve"> PAGEREF _Toc454265288 \h </w:instrText>
      </w:r>
      <w:r w:rsidRPr="00B35030">
        <w:rPr>
          <w:rFonts w:asciiTheme="minorHAnsi" w:hAnsiTheme="minorHAnsi"/>
          <w:lang w:val="en-US"/>
        </w:rPr>
      </w:r>
      <w:r w:rsidRPr="00B35030">
        <w:rPr>
          <w:rFonts w:asciiTheme="minorHAnsi" w:hAnsiTheme="minorHAnsi"/>
          <w:lang w:val="en-US"/>
        </w:rPr>
        <w:fldChar w:fldCharType="separate"/>
      </w:r>
      <w:r w:rsidR="001F0E45">
        <w:rPr>
          <w:rFonts w:asciiTheme="minorHAnsi" w:hAnsiTheme="minorHAnsi"/>
          <w:lang w:val="en-US"/>
        </w:rPr>
        <w:t>9</w:t>
      </w:r>
      <w:r w:rsidRPr="00B35030">
        <w:rPr>
          <w:rFonts w:asciiTheme="minorHAnsi" w:hAnsiTheme="minorHAnsi"/>
          <w:lang w:val="en-US"/>
        </w:rPr>
        <w:fldChar w:fldCharType="end"/>
      </w:r>
    </w:p>
    <w:p w14:paraId="67E00695" w14:textId="77777777" w:rsidR="00BB190B" w:rsidRPr="00BB190B" w:rsidRDefault="00BB190B" w:rsidP="00723760">
      <w:pPr>
        <w:pStyle w:val="TOC2"/>
        <w:tabs>
          <w:tab w:val="clear" w:pos="8290"/>
          <w:tab w:val="right" w:leader="dot" w:pos="8364"/>
        </w:tabs>
        <w:rPr>
          <w:noProof/>
          <w:lang w:val="en-US" w:eastAsia="de-DE"/>
        </w:rPr>
      </w:pPr>
      <w:r w:rsidRPr="00BB190B">
        <w:rPr>
          <w:noProof/>
          <w:lang w:val="en-US"/>
        </w:rPr>
        <w:t>5.1 Duration of Disclosure</w:t>
      </w:r>
      <w:r w:rsidRPr="00BB190B">
        <w:rPr>
          <w:noProof/>
        </w:rPr>
        <w:tab/>
      </w:r>
      <w:r w:rsidRPr="00BB190B">
        <w:rPr>
          <w:noProof/>
        </w:rPr>
        <w:fldChar w:fldCharType="begin"/>
      </w:r>
      <w:r w:rsidRPr="00BB190B">
        <w:rPr>
          <w:noProof/>
        </w:rPr>
        <w:instrText xml:space="preserve"> PAGEREF _Toc454265290 \h </w:instrText>
      </w:r>
      <w:r w:rsidRPr="00BB190B">
        <w:rPr>
          <w:noProof/>
        </w:rPr>
      </w:r>
      <w:r w:rsidRPr="00BB190B">
        <w:rPr>
          <w:noProof/>
        </w:rPr>
        <w:fldChar w:fldCharType="separate"/>
      </w:r>
      <w:r w:rsidR="001F0E45">
        <w:rPr>
          <w:noProof/>
        </w:rPr>
        <w:t>9</w:t>
      </w:r>
      <w:r w:rsidRPr="00BB190B">
        <w:rPr>
          <w:noProof/>
        </w:rPr>
        <w:fldChar w:fldCharType="end"/>
      </w:r>
    </w:p>
    <w:p w14:paraId="186963EA" w14:textId="77777777" w:rsidR="00BB190B" w:rsidRPr="00BB190B" w:rsidRDefault="00BB190B" w:rsidP="00723760">
      <w:pPr>
        <w:pStyle w:val="TOC2"/>
        <w:tabs>
          <w:tab w:val="clear" w:pos="8290"/>
          <w:tab w:val="right" w:leader="dot" w:pos="8364"/>
        </w:tabs>
        <w:rPr>
          <w:noProof/>
          <w:lang w:val="en-US" w:eastAsia="de-DE"/>
        </w:rPr>
      </w:pPr>
      <w:r w:rsidRPr="00BB190B">
        <w:rPr>
          <w:noProof/>
          <w:lang w:val="en-US"/>
        </w:rPr>
        <w:t>5.2 Clearing Institution / Dispute Resolution Management</w:t>
      </w:r>
      <w:r>
        <w:rPr>
          <w:noProof/>
        </w:rPr>
        <w:tab/>
      </w:r>
      <w:r>
        <w:rPr>
          <w:noProof/>
        </w:rPr>
        <w:fldChar w:fldCharType="begin"/>
      </w:r>
      <w:r>
        <w:rPr>
          <w:noProof/>
        </w:rPr>
        <w:instrText xml:space="preserve"> PAGEREF _Toc454265291 \h </w:instrText>
      </w:r>
      <w:r>
        <w:rPr>
          <w:noProof/>
        </w:rPr>
      </w:r>
      <w:r>
        <w:rPr>
          <w:noProof/>
        </w:rPr>
        <w:fldChar w:fldCharType="separate"/>
      </w:r>
      <w:r w:rsidR="001F0E45">
        <w:rPr>
          <w:noProof/>
        </w:rPr>
        <w:t>9</w:t>
      </w:r>
      <w:r>
        <w:rPr>
          <w:noProof/>
        </w:rPr>
        <w:fldChar w:fldCharType="end"/>
      </w:r>
    </w:p>
    <w:p w14:paraId="2A56EF81" w14:textId="77777777" w:rsidR="006A2EFC" w:rsidRPr="00614924" w:rsidRDefault="006A2EFC" w:rsidP="00723760">
      <w:pPr>
        <w:tabs>
          <w:tab w:val="right" w:leader="dot" w:pos="8364"/>
        </w:tabs>
        <w:jc w:val="both"/>
        <w:rPr>
          <w:rFonts w:eastAsiaTheme="majorEastAsia" w:cstheme="majorBidi"/>
          <w:b/>
          <w:bCs/>
          <w:color w:val="365F91" w:themeColor="accent1" w:themeShade="BF"/>
          <w:sz w:val="28"/>
          <w:szCs w:val="28"/>
          <w:lang w:val="en-US"/>
        </w:rPr>
      </w:pPr>
      <w:r w:rsidRPr="00853A29">
        <w:fldChar w:fldCharType="end"/>
      </w:r>
      <w:r w:rsidRPr="00614924">
        <w:rPr>
          <w:lang w:val="en-US"/>
        </w:rPr>
        <w:br w:type="page"/>
      </w:r>
    </w:p>
    <w:p w14:paraId="642F02AD" w14:textId="62F681CA" w:rsidR="00A37E5C" w:rsidRPr="00724A0F" w:rsidRDefault="00051805" w:rsidP="00BB190B">
      <w:pPr>
        <w:pStyle w:val="Heading1"/>
        <w:numPr>
          <w:ilvl w:val="0"/>
          <w:numId w:val="5"/>
        </w:numPr>
        <w:jc w:val="both"/>
        <w:rPr>
          <w:rFonts w:asciiTheme="minorHAnsi" w:hAnsiTheme="minorHAnsi"/>
        </w:rPr>
      </w:pPr>
      <w:bookmarkStart w:id="1" w:name="_Toc313555985"/>
      <w:bookmarkStart w:id="2" w:name="_Toc454265269"/>
      <w:r>
        <w:rPr>
          <w:rFonts w:asciiTheme="minorHAnsi" w:hAnsiTheme="minorHAnsi"/>
        </w:rPr>
        <w:lastRenderedPageBreak/>
        <w:t>Genera</w:t>
      </w:r>
      <w:r w:rsidR="009C3DAF">
        <w:rPr>
          <w:rFonts w:asciiTheme="minorHAnsi" w:hAnsiTheme="minorHAnsi"/>
        </w:rPr>
        <w:t>l</w:t>
      </w:r>
      <w:r w:rsidR="0088160D">
        <w:rPr>
          <w:rFonts w:asciiTheme="minorHAnsi" w:hAnsiTheme="minorHAnsi"/>
        </w:rPr>
        <w:t xml:space="preserve"> I</w:t>
      </w:r>
      <w:r>
        <w:rPr>
          <w:rFonts w:asciiTheme="minorHAnsi" w:hAnsiTheme="minorHAnsi"/>
        </w:rPr>
        <w:t>ntrodu</w:t>
      </w:r>
      <w:r w:rsidR="0088160D">
        <w:rPr>
          <w:rFonts w:asciiTheme="minorHAnsi" w:hAnsiTheme="minorHAnsi"/>
        </w:rPr>
        <w:t>c</w:t>
      </w:r>
      <w:r>
        <w:rPr>
          <w:rFonts w:asciiTheme="minorHAnsi" w:hAnsiTheme="minorHAnsi"/>
        </w:rPr>
        <w:t>tion</w:t>
      </w:r>
      <w:bookmarkEnd w:id="0"/>
      <w:bookmarkEnd w:id="1"/>
      <w:bookmarkEnd w:id="2"/>
    </w:p>
    <w:p w14:paraId="2EED0062" w14:textId="128C1261" w:rsidR="007A4F49" w:rsidRDefault="00723760" w:rsidP="00BB190B">
      <w:pPr>
        <w:jc w:val="both"/>
      </w:pPr>
      <w:r>
        <w:rPr>
          <w:rFonts w:cs="Myriad Pro"/>
          <w:color w:val="000000"/>
          <w:lang w:val="en-US"/>
        </w:rPr>
        <w:t xml:space="preserve">The </w:t>
      </w:r>
      <w:r>
        <w:rPr>
          <w:rFonts w:cs="Myriad Pro"/>
          <w:color w:val="000000"/>
        </w:rPr>
        <w:t>collaboration</w:t>
      </w:r>
      <w:r w:rsidR="007A4F49">
        <w:rPr>
          <w:rFonts w:cs="Myriad Pro"/>
          <w:color w:val="000000"/>
        </w:rPr>
        <w:t xml:space="preserve"> between industry and health professionals benefits patients. It is a relationship that has delivered numerous innovative medicines and </w:t>
      </w:r>
      <w:r w:rsidR="008D194A">
        <w:rPr>
          <w:rFonts w:cs="Myriad Pro"/>
          <w:color w:val="000000"/>
        </w:rPr>
        <w:t xml:space="preserve">has </w:t>
      </w:r>
      <w:r w:rsidR="007A4F49">
        <w:rPr>
          <w:rFonts w:cs="Myriad Pro"/>
          <w:color w:val="000000"/>
        </w:rPr>
        <w:t>changed the way many diseases impact on our lives. Industry and health pro</w:t>
      </w:r>
      <w:r w:rsidR="007A4F49">
        <w:rPr>
          <w:rFonts w:cs="Myriad Pro"/>
          <w:color w:val="000000"/>
        </w:rPr>
        <w:softHyphen/>
        <w:t xml:space="preserve">fessionals collaborate in a </w:t>
      </w:r>
      <w:r w:rsidR="008D194A">
        <w:rPr>
          <w:rFonts w:cs="Myriad Pro"/>
          <w:color w:val="000000"/>
        </w:rPr>
        <w:t xml:space="preserve">wide </w:t>
      </w:r>
      <w:r w:rsidR="007A4F49">
        <w:rPr>
          <w:rFonts w:cs="Myriad Pro"/>
          <w:color w:val="000000"/>
        </w:rPr>
        <w:t>range of activities</w:t>
      </w:r>
      <w:r w:rsidR="003417CA">
        <w:rPr>
          <w:rFonts w:cs="Myriad Pro"/>
          <w:color w:val="000000"/>
        </w:rPr>
        <w:t>, starting</w:t>
      </w:r>
      <w:r w:rsidR="007A4F49">
        <w:rPr>
          <w:rFonts w:cs="Myriad Pro"/>
          <w:color w:val="000000"/>
        </w:rPr>
        <w:t xml:space="preserve"> from clinical research</w:t>
      </w:r>
      <w:r w:rsidR="003417CA">
        <w:rPr>
          <w:rFonts w:cs="Myriad Pro"/>
          <w:color w:val="000000"/>
        </w:rPr>
        <w:t xml:space="preserve"> and </w:t>
      </w:r>
      <w:r w:rsidR="007A4F49">
        <w:rPr>
          <w:rFonts w:cs="Myriad Pro"/>
          <w:color w:val="000000"/>
        </w:rPr>
        <w:t xml:space="preserve">sharing best clinical practice </w:t>
      </w:r>
      <w:r w:rsidR="003417CA">
        <w:rPr>
          <w:rFonts w:cs="Myriad Pro"/>
          <w:color w:val="000000"/>
        </w:rPr>
        <w:t xml:space="preserve">up to the </w:t>
      </w:r>
      <w:r w:rsidR="007A4F49">
        <w:rPr>
          <w:rFonts w:cs="Myriad Pro"/>
          <w:color w:val="000000"/>
        </w:rPr>
        <w:t>exchang</w:t>
      </w:r>
      <w:r w:rsidR="003417CA">
        <w:rPr>
          <w:rFonts w:cs="Myriad Pro"/>
          <w:color w:val="000000"/>
        </w:rPr>
        <w:t>e</w:t>
      </w:r>
      <w:r w:rsidR="008D194A">
        <w:rPr>
          <w:rFonts w:cs="Myriad Pro"/>
          <w:color w:val="000000"/>
        </w:rPr>
        <w:t xml:space="preserve"> of</w:t>
      </w:r>
      <w:r w:rsidR="007A4F49">
        <w:rPr>
          <w:rFonts w:cs="Myriad Pro"/>
          <w:color w:val="000000"/>
        </w:rPr>
        <w:t xml:space="preserve"> information on how new medicines fit into the patient pathway. Bringing greater transparency to this already </w:t>
      </w:r>
      <w:r w:rsidR="003417CA">
        <w:rPr>
          <w:rFonts w:cs="Myriad Pro"/>
          <w:color w:val="000000"/>
        </w:rPr>
        <w:t>strongly-</w:t>
      </w:r>
      <w:r w:rsidR="007A4F49">
        <w:rPr>
          <w:rFonts w:cs="Myriad Pro"/>
          <w:color w:val="000000"/>
        </w:rPr>
        <w:t xml:space="preserve">regulated, vital relationship is about </w:t>
      </w:r>
      <w:r w:rsidR="003417CA">
        <w:rPr>
          <w:rFonts w:cs="Myriad Pro"/>
          <w:color w:val="000000"/>
        </w:rPr>
        <w:t xml:space="preserve">creating and </w:t>
      </w:r>
      <w:r w:rsidR="007A4F49">
        <w:rPr>
          <w:rFonts w:cs="Myriad Pro"/>
          <w:color w:val="000000"/>
        </w:rPr>
        <w:t xml:space="preserve">strengthening the basis for collaboration in the future. Society has increasingly high expectations </w:t>
      </w:r>
      <w:r w:rsidR="003417CA">
        <w:rPr>
          <w:rFonts w:cs="Myriad Pro"/>
          <w:color w:val="000000"/>
        </w:rPr>
        <w:t>in te</w:t>
      </w:r>
      <w:r w:rsidR="007A4F49">
        <w:rPr>
          <w:rFonts w:cs="Myriad Pro"/>
          <w:color w:val="000000"/>
        </w:rPr>
        <w:t>r</w:t>
      </w:r>
      <w:r w:rsidR="003417CA">
        <w:rPr>
          <w:rFonts w:cs="Myriad Pro"/>
          <w:color w:val="000000"/>
        </w:rPr>
        <w:t>ms of</w:t>
      </w:r>
      <w:r w:rsidR="007A4F49">
        <w:rPr>
          <w:rFonts w:cs="Myriad Pro"/>
          <w:color w:val="000000"/>
        </w:rPr>
        <w:t xml:space="preserve"> transparency, </w:t>
      </w:r>
      <w:r w:rsidR="003417CA">
        <w:rPr>
          <w:rFonts w:cs="Myriad Pro"/>
          <w:color w:val="000000"/>
        </w:rPr>
        <w:t>and this is even more important when it comes to the field of he</w:t>
      </w:r>
      <w:r w:rsidR="007A4F49">
        <w:rPr>
          <w:rFonts w:cs="Myriad Pro"/>
          <w:color w:val="000000"/>
        </w:rPr>
        <w:t>althcare. Takeda, as a member of the European Federation of Pharmaceutical Industries Associations (“EFPIA”), want</w:t>
      </w:r>
      <w:r w:rsidR="003417CA">
        <w:rPr>
          <w:rFonts w:cs="Myriad Pro"/>
          <w:color w:val="000000"/>
        </w:rPr>
        <w:t>s</w:t>
      </w:r>
      <w:r w:rsidR="007A4F49">
        <w:rPr>
          <w:rFonts w:cs="Myriad Pro"/>
          <w:color w:val="000000"/>
        </w:rPr>
        <w:t xml:space="preserve"> to ensure </w:t>
      </w:r>
      <w:r w:rsidR="003417CA">
        <w:rPr>
          <w:rFonts w:cs="Myriad Pro"/>
          <w:color w:val="000000"/>
        </w:rPr>
        <w:t xml:space="preserve">that </w:t>
      </w:r>
      <w:r w:rsidR="008D194A">
        <w:rPr>
          <w:rFonts w:cs="Myriad Pro"/>
          <w:color w:val="000000"/>
        </w:rPr>
        <w:t>we meet the</w:t>
      </w:r>
      <w:r w:rsidR="007A4F49">
        <w:rPr>
          <w:rFonts w:cs="Myriad Pro"/>
          <w:color w:val="000000"/>
        </w:rPr>
        <w:t>se expectations going forward.</w:t>
      </w:r>
    </w:p>
    <w:p w14:paraId="237DD921" w14:textId="1BDF1BB5" w:rsidR="003417CA" w:rsidRPr="00CB2669" w:rsidRDefault="003417CA" w:rsidP="00BB190B">
      <w:pPr>
        <w:jc w:val="both"/>
        <w:rPr>
          <w:rFonts w:eastAsiaTheme="majorEastAsia" w:cstheme="majorBidi"/>
          <w:b/>
          <w:bCs/>
          <w:color w:val="365F91" w:themeColor="accent1" w:themeShade="BF"/>
          <w:sz w:val="28"/>
          <w:szCs w:val="28"/>
          <w:lang w:val="en-US"/>
        </w:rPr>
      </w:pPr>
      <w:bookmarkStart w:id="3" w:name="_Toc311393062"/>
      <w:r>
        <w:t xml:space="preserve">This methodological note is </w:t>
      </w:r>
      <w:r w:rsidR="00B55AA9">
        <w:t>aime</w:t>
      </w:r>
      <w:r>
        <w:t xml:space="preserve">d </w:t>
      </w:r>
      <w:r w:rsidR="00B55AA9">
        <w:t>a</w:t>
      </w:r>
      <w:r>
        <w:t xml:space="preserve">t anyone who wants to better understand the working assumptions used </w:t>
      </w:r>
      <w:r w:rsidR="008D194A">
        <w:t>f</w:t>
      </w:r>
      <w:r>
        <w:t>o</w:t>
      </w:r>
      <w:r w:rsidR="008D194A">
        <w:t>r generating</w:t>
      </w:r>
      <w:r>
        <w:t xml:space="preserve"> the disclosure report of </w:t>
      </w:r>
      <w:r w:rsidRPr="00BB190B">
        <w:t>Takeda Pharma</w:t>
      </w:r>
      <w:r>
        <w:t xml:space="preserve"> and how the </w:t>
      </w:r>
      <w:r w:rsidR="008D194A">
        <w:t xml:space="preserve">various </w:t>
      </w:r>
      <w:r>
        <w:t>activities</w:t>
      </w:r>
      <w:r w:rsidR="008D194A">
        <w:t xml:space="preserve"> disclosed</w:t>
      </w:r>
      <w:r>
        <w:t xml:space="preserve"> are defined within Takeda.</w:t>
      </w:r>
    </w:p>
    <w:p w14:paraId="58B191AD" w14:textId="59E07F75" w:rsidR="00B23528" w:rsidRPr="00DA3D0B" w:rsidRDefault="00185B77" w:rsidP="00BB190B">
      <w:pPr>
        <w:pStyle w:val="Heading1"/>
        <w:numPr>
          <w:ilvl w:val="0"/>
          <w:numId w:val="5"/>
        </w:numPr>
        <w:ind w:left="567" w:hanging="567"/>
        <w:jc w:val="both"/>
        <w:rPr>
          <w:rFonts w:asciiTheme="minorHAnsi" w:hAnsiTheme="minorHAnsi"/>
          <w:lang w:val="de-DE"/>
        </w:rPr>
      </w:pPr>
      <w:bookmarkStart w:id="4" w:name="_Toc454265270"/>
      <w:bookmarkEnd w:id="3"/>
      <w:r w:rsidRPr="00CB2669">
        <w:rPr>
          <w:rFonts w:asciiTheme="minorHAnsi" w:hAnsiTheme="minorHAnsi"/>
          <w:lang w:val="en-US"/>
        </w:rPr>
        <w:t>Scope</w:t>
      </w:r>
      <w:r>
        <w:rPr>
          <w:rFonts w:asciiTheme="minorHAnsi" w:hAnsiTheme="minorHAnsi"/>
          <w:lang w:val="de-DE"/>
        </w:rPr>
        <w:t xml:space="preserve"> of</w:t>
      </w:r>
      <w:r w:rsidRPr="00CB2669">
        <w:rPr>
          <w:rFonts w:asciiTheme="minorHAnsi" w:hAnsiTheme="minorHAnsi"/>
          <w:lang w:val="en-US"/>
        </w:rPr>
        <w:t xml:space="preserve"> </w:t>
      </w:r>
      <w:r w:rsidR="009F5A5D" w:rsidRPr="00CB2669">
        <w:rPr>
          <w:rFonts w:asciiTheme="minorHAnsi" w:hAnsiTheme="minorHAnsi"/>
          <w:lang w:val="en-US"/>
        </w:rPr>
        <w:t>D</w:t>
      </w:r>
      <w:r w:rsidRPr="00CB2669">
        <w:rPr>
          <w:rFonts w:asciiTheme="minorHAnsi" w:hAnsiTheme="minorHAnsi"/>
          <w:lang w:val="en-US"/>
        </w:rPr>
        <w:t>isclosure</w:t>
      </w:r>
      <w:bookmarkEnd w:id="4"/>
    </w:p>
    <w:p w14:paraId="3A70315C" w14:textId="1D56DB16" w:rsidR="0066542D" w:rsidRPr="00BB190B" w:rsidRDefault="00185B77" w:rsidP="00BB190B">
      <w:pPr>
        <w:jc w:val="both"/>
        <w:rPr>
          <w:lang w:val="en-US"/>
        </w:rPr>
      </w:pPr>
      <w:r w:rsidRPr="00BB190B">
        <w:rPr>
          <w:lang w:val="en-US"/>
        </w:rPr>
        <w:t xml:space="preserve">In order to correctly define what is to be regarded as </w:t>
      </w:r>
      <w:r w:rsidR="008F32B2" w:rsidRPr="00BB190B">
        <w:rPr>
          <w:lang w:val="en-US"/>
        </w:rPr>
        <w:t xml:space="preserve">a </w:t>
      </w:r>
      <w:r w:rsidR="004547AD" w:rsidRPr="00BB190B">
        <w:rPr>
          <w:lang w:val="en-US"/>
        </w:rPr>
        <w:t>reportable Tran</w:t>
      </w:r>
      <w:r w:rsidR="008F32B2" w:rsidRPr="00BB190B">
        <w:rPr>
          <w:lang w:val="en-US"/>
        </w:rPr>
        <w:t>s</w:t>
      </w:r>
      <w:r w:rsidR="004547AD" w:rsidRPr="00BB190B">
        <w:rPr>
          <w:lang w:val="en-US"/>
        </w:rPr>
        <w:t xml:space="preserve">fer of Value (ToV) </w:t>
      </w:r>
      <w:r w:rsidR="00726D12" w:rsidRPr="00BB190B">
        <w:rPr>
          <w:lang w:val="en-US"/>
        </w:rPr>
        <w:t xml:space="preserve">operation </w:t>
      </w:r>
      <w:r w:rsidR="004547AD" w:rsidRPr="00BB190B">
        <w:rPr>
          <w:lang w:val="en-US"/>
        </w:rPr>
        <w:t>according to the applicable EFPIA guidelines (</w:t>
      </w:r>
      <w:hyperlink r:id="rId11" w:history="1">
        <w:r w:rsidR="004547AD" w:rsidRPr="00BB190B">
          <w:rPr>
            <w:rStyle w:val="Hyperlink"/>
            <w:lang w:val="en-US"/>
          </w:rPr>
          <w:t>http://transparency.efpia.eu/the-efpia-code-2</w:t>
        </w:r>
      </w:hyperlink>
      <w:r w:rsidR="004547AD" w:rsidRPr="00BB190B">
        <w:rPr>
          <w:lang w:val="en-US"/>
        </w:rPr>
        <w:t xml:space="preserve">) and to the </w:t>
      </w:r>
      <w:r w:rsidR="00B55AA9" w:rsidRPr="00BB190B">
        <w:rPr>
          <w:lang w:val="en-US"/>
        </w:rPr>
        <w:t xml:space="preserve"> </w:t>
      </w:r>
      <w:r w:rsidR="00726D12" w:rsidRPr="00BB190B">
        <w:rPr>
          <w:lang w:val="en-US"/>
        </w:rPr>
        <w:t xml:space="preserve">requirements of the </w:t>
      </w:r>
      <w:r w:rsidR="00B55AA9" w:rsidRPr="00BB190B">
        <w:rPr>
          <w:lang w:val="en-US"/>
        </w:rPr>
        <w:t xml:space="preserve">industrial associations relevant for the company Takeda in the Federal Republic of Germany, </w:t>
      </w:r>
      <w:r w:rsidR="00726D12" w:rsidRPr="00BB190B">
        <w:rPr>
          <w:lang w:val="en-US"/>
        </w:rPr>
        <w:t xml:space="preserve">i. e. </w:t>
      </w:r>
      <w:r w:rsidR="0066542D" w:rsidRPr="00BB190B">
        <w:rPr>
          <w:lang w:val="en-US"/>
        </w:rPr>
        <w:t xml:space="preserve">the Code of Transparency of the Association of Voluntary Self-Control of the Pharmaceutical Industry (Verein Freiwillige Selbstkontrolle für die Arzneimittelindustrie – FSA) for the interaction with Healthcare Professionals and Healthcare </w:t>
      </w:r>
      <w:r w:rsidR="00CB2669" w:rsidRPr="00BB190B">
        <w:rPr>
          <w:lang w:val="en-US"/>
        </w:rPr>
        <w:t>Organizations</w:t>
      </w:r>
      <w:r w:rsidR="0066542D" w:rsidRPr="00BB190B">
        <w:rPr>
          <w:lang w:val="en-US"/>
        </w:rPr>
        <w:t xml:space="preserve"> (“FSA Transparency Code”) </w:t>
      </w:r>
      <w:r w:rsidR="00CD3FBA" w:rsidRPr="00BB190B">
        <w:rPr>
          <w:lang w:val="en-US"/>
        </w:rPr>
        <w:t>(</w:t>
      </w:r>
      <w:hyperlink r:id="rId12" w:history="1">
        <w:r w:rsidR="00CD3FBA" w:rsidRPr="00BB190B">
          <w:rPr>
            <w:rStyle w:val="Hyperlink"/>
            <w:lang w:val="en-US"/>
          </w:rPr>
          <w:t>www.fsa-pharma.de</w:t>
        </w:r>
      </w:hyperlink>
      <w:r w:rsidR="00CD3FBA" w:rsidRPr="00BB190B">
        <w:rPr>
          <w:lang w:val="en-US"/>
        </w:rPr>
        <w:t>) and the German Association of Research</w:t>
      </w:r>
      <w:r w:rsidR="0066542D" w:rsidRPr="00BB190B">
        <w:rPr>
          <w:lang w:val="en-US"/>
        </w:rPr>
        <w:t>-</w:t>
      </w:r>
      <w:r w:rsidR="00CD3FBA" w:rsidRPr="00BB190B">
        <w:rPr>
          <w:lang w:val="en-US"/>
        </w:rPr>
        <w:t xml:space="preserve">Based </w:t>
      </w:r>
      <w:r w:rsidR="0066542D" w:rsidRPr="00BB190B">
        <w:rPr>
          <w:lang w:val="en-US"/>
        </w:rPr>
        <w:t xml:space="preserve">Pharmaceutical </w:t>
      </w:r>
      <w:r w:rsidR="00CD3FBA" w:rsidRPr="00BB190B">
        <w:rPr>
          <w:lang w:val="en-US"/>
        </w:rPr>
        <w:t>Companies</w:t>
      </w:r>
      <w:r w:rsidR="0066542D" w:rsidRPr="00BB190B">
        <w:rPr>
          <w:lang w:val="en-US"/>
        </w:rPr>
        <w:t xml:space="preserve"> (Ver</w:t>
      </w:r>
      <w:r w:rsidR="00CD3FBA" w:rsidRPr="00BB190B">
        <w:rPr>
          <w:lang w:val="en-US"/>
        </w:rPr>
        <w:t>band forschender Arzneimittelunternehmen, VfA) (</w:t>
      </w:r>
      <w:hyperlink r:id="rId13" w:history="1">
        <w:r w:rsidR="00CD3FBA" w:rsidRPr="00BB190B">
          <w:rPr>
            <w:rStyle w:val="Hyperlink"/>
            <w:lang w:val="en-US"/>
          </w:rPr>
          <w:t>www.vfa.de</w:t>
        </w:r>
      </w:hyperlink>
      <w:r w:rsidR="00CD3FBA" w:rsidRPr="00BB190B">
        <w:rPr>
          <w:lang w:val="en-US"/>
        </w:rPr>
        <w:t>)</w:t>
      </w:r>
      <w:r w:rsidR="00726D12" w:rsidRPr="00BB190B">
        <w:rPr>
          <w:lang w:val="en-US"/>
        </w:rPr>
        <w:t>, various internal interpretations were required</w:t>
      </w:r>
      <w:r w:rsidR="00CD3FBA" w:rsidRPr="00BB190B">
        <w:rPr>
          <w:lang w:val="en-US"/>
        </w:rPr>
        <w:t>.</w:t>
      </w:r>
    </w:p>
    <w:p w14:paraId="44BD8AAB" w14:textId="2DBEE3FD" w:rsidR="00CD3FBA" w:rsidRPr="00CB2669" w:rsidRDefault="00CD3FBA" w:rsidP="00BB190B">
      <w:pPr>
        <w:jc w:val="both"/>
        <w:rPr>
          <w:lang w:val="en-US"/>
        </w:rPr>
      </w:pPr>
      <w:r>
        <w:t>We have summarized below our interpretation</w:t>
      </w:r>
      <w:r w:rsidR="00726D12">
        <w:t>s</w:t>
      </w:r>
      <w:r>
        <w:t xml:space="preserve"> and working assumptions which we consistently applied while gathering data, what </w:t>
      </w:r>
      <w:r w:rsidR="00DC171F">
        <w:t>the term “</w:t>
      </w:r>
      <w:r>
        <w:t>covered recipients</w:t>
      </w:r>
      <w:r w:rsidR="00DC171F">
        <w:t>”</w:t>
      </w:r>
      <w:r>
        <w:t xml:space="preserve"> means for us and what </w:t>
      </w:r>
      <w:r w:rsidR="00726D12">
        <w:t xml:space="preserve">exactly </w:t>
      </w:r>
      <w:r>
        <w:t xml:space="preserve">are the </w:t>
      </w:r>
      <w:r w:rsidR="00726D12">
        <w:t xml:space="preserve">recipients, </w:t>
      </w:r>
      <w:r>
        <w:t>activities and expenses that are covered within the scope</w:t>
      </w:r>
      <w:r w:rsidR="00726D12">
        <w:t xml:space="preserve"> according to our definitions</w:t>
      </w:r>
      <w:r>
        <w:t>.</w:t>
      </w:r>
    </w:p>
    <w:p w14:paraId="2F2E7F4D" w14:textId="276DF116" w:rsidR="007E68D4" w:rsidRPr="00F710C5" w:rsidRDefault="00DC171F" w:rsidP="00BB190B">
      <w:pPr>
        <w:pStyle w:val="Heading2"/>
        <w:numPr>
          <w:ilvl w:val="1"/>
          <w:numId w:val="5"/>
        </w:numPr>
        <w:ind w:left="567" w:hanging="567"/>
        <w:jc w:val="both"/>
        <w:rPr>
          <w:rFonts w:asciiTheme="minorHAnsi" w:hAnsiTheme="minorHAnsi"/>
          <w:lang w:val="de-DE"/>
        </w:rPr>
      </w:pPr>
      <w:bookmarkStart w:id="5" w:name="_Toc454265271"/>
      <w:r w:rsidRPr="00CB2669">
        <w:rPr>
          <w:rFonts w:asciiTheme="minorHAnsi" w:hAnsiTheme="minorHAnsi"/>
          <w:lang w:val="en-US"/>
        </w:rPr>
        <w:t>Recipient</w:t>
      </w:r>
      <w:r>
        <w:rPr>
          <w:rFonts w:asciiTheme="minorHAnsi" w:hAnsiTheme="minorHAnsi"/>
          <w:lang w:val="de-DE"/>
        </w:rPr>
        <w:t xml:space="preserve"> Scope</w:t>
      </w:r>
      <w:bookmarkEnd w:id="5"/>
    </w:p>
    <w:p w14:paraId="25D68491" w14:textId="4BCCA4E5" w:rsidR="00B23528" w:rsidRPr="00614924" w:rsidRDefault="00F710C5" w:rsidP="00BB190B">
      <w:pPr>
        <w:pStyle w:val="Heading3"/>
        <w:numPr>
          <w:ilvl w:val="2"/>
          <w:numId w:val="5"/>
        </w:numPr>
        <w:ind w:left="567" w:hanging="567"/>
        <w:jc w:val="both"/>
        <w:rPr>
          <w:rFonts w:asciiTheme="minorHAnsi" w:hAnsiTheme="minorHAnsi"/>
          <w:lang w:val="en-US"/>
        </w:rPr>
      </w:pPr>
      <w:bookmarkStart w:id="6" w:name="_Toc311393064"/>
      <w:bookmarkStart w:id="7" w:name="_Toc454265272"/>
      <w:bookmarkStart w:id="8" w:name="_Toc310773576"/>
      <w:r w:rsidRPr="00614924">
        <w:rPr>
          <w:rFonts w:asciiTheme="minorHAnsi" w:hAnsiTheme="minorHAnsi"/>
          <w:lang w:val="en-US"/>
        </w:rPr>
        <w:t>He</w:t>
      </w:r>
      <w:r w:rsidR="006C45F9" w:rsidRPr="00614924">
        <w:rPr>
          <w:rFonts w:asciiTheme="minorHAnsi" w:hAnsiTheme="minorHAnsi"/>
          <w:lang w:val="en-US"/>
        </w:rPr>
        <w:t xml:space="preserve">althcare Professionals </w:t>
      </w:r>
      <w:r w:rsidR="00DC171F" w:rsidRPr="00614924">
        <w:rPr>
          <w:rFonts w:asciiTheme="minorHAnsi" w:hAnsiTheme="minorHAnsi"/>
          <w:lang w:val="en-US"/>
        </w:rPr>
        <w:t>(</w:t>
      </w:r>
      <w:r w:rsidR="006C45F9" w:rsidRPr="00614924">
        <w:rPr>
          <w:rFonts w:asciiTheme="minorHAnsi" w:hAnsiTheme="minorHAnsi"/>
          <w:lang w:val="en-US"/>
        </w:rPr>
        <w:t xml:space="preserve">HCP):  </w:t>
      </w:r>
      <w:r w:rsidR="0089152E" w:rsidRPr="00614924">
        <w:rPr>
          <w:rFonts w:asciiTheme="minorHAnsi" w:hAnsiTheme="minorHAnsi"/>
          <w:lang w:val="en-US"/>
        </w:rPr>
        <w:t>D</w:t>
      </w:r>
      <w:r w:rsidR="00C26BA8" w:rsidRPr="00614924">
        <w:rPr>
          <w:rFonts w:asciiTheme="minorHAnsi" w:hAnsiTheme="minorHAnsi"/>
          <w:lang w:val="en-US"/>
        </w:rPr>
        <w:t xml:space="preserve">efinition </w:t>
      </w:r>
      <w:r w:rsidR="00DC171F" w:rsidRPr="00614924">
        <w:rPr>
          <w:rFonts w:asciiTheme="minorHAnsi" w:hAnsiTheme="minorHAnsi"/>
          <w:lang w:val="en-US"/>
        </w:rPr>
        <w:t>a</w:t>
      </w:r>
      <w:r w:rsidR="00C26BA8" w:rsidRPr="00614924">
        <w:rPr>
          <w:rFonts w:asciiTheme="minorHAnsi" w:hAnsiTheme="minorHAnsi"/>
          <w:lang w:val="en-US"/>
        </w:rPr>
        <w:t xml:space="preserve">nd </w:t>
      </w:r>
      <w:bookmarkEnd w:id="6"/>
      <w:r w:rsidR="0089152E" w:rsidRPr="00614924">
        <w:rPr>
          <w:rFonts w:asciiTheme="minorHAnsi" w:hAnsiTheme="minorHAnsi"/>
          <w:lang w:val="en-US"/>
        </w:rPr>
        <w:t>S</w:t>
      </w:r>
      <w:r w:rsidR="00DC171F" w:rsidRPr="00614924">
        <w:rPr>
          <w:rFonts w:asciiTheme="minorHAnsi" w:hAnsiTheme="minorHAnsi"/>
          <w:lang w:val="en-US"/>
        </w:rPr>
        <w:t>cope</w:t>
      </w:r>
      <w:bookmarkEnd w:id="7"/>
    </w:p>
    <w:p w14:paraId="1DB35A16" w14:textId="35CF5F0C" w:rsidR="0088160D" w:rsidRDefault="00F70E0B" w:rsidP="00BB190B">
      <w:pPr>
        <w:jc w:val="both"/>
        <w:rPr>
          <w:i/>
        </w:rPr>
      </w:pPr>
      <w:r w:rsidRPr="00614924">
        <w:rPr>
          <w:lang w:val="en-US"/>
        </w:rPr>
        <w:t xml:space="preserve">In their disclosure report, the company Takeda </w:t>
      </w:r>
      <w:r w:rsidRPr="00BB190B">
        <w:rPr>
          <w:lang w:val="en-US"/>
        </w:rPr>
        <w:t>has taken into consideration th</w:t>
      </w:r>
      <w:r w:rsidR="00B72B81" w:rsidRPr="00BB190B">
        <w:rPr>
          <w:lang w:val="en-US"/>
        </w:rPr>
        <w:t xml:space="preserve">e definitions established in line with the FSA code with regard to those healthcare professionals with whom our company may conduct </w:t>
      </w:r>
      <w:r w:rsidR="00B13550" w:rsidRPr="00BB190B">
        <w:rPr>
          <w:lang w:val="en-US"/>
        </w:rPr>
        <w:t>T</w:t>
      </w:r>
      <w:r w:rsidR="00B72B81" w:rsidRPr="00BB190B">
        <w:rPr>
          <w:lang w:val="en-US"/>
        </w:rPr>
        <w:t xml:space="preserve">ransfer of </w:t>
      </w:r>
      <w:r w:rsidR="00B13550" w:rsidRPr="00BB190B">
        <w:rPr>
          <w:lang w:val="en-US"/>
        </w:rPr>
        <w:t>V</w:t>
      </w:r>
      <w:r w:rsidR="00B72B81" w:rsidRPr="00BB190B">
        <w:rPr>
          <w:lang w:val="en-US"/>
        </w:rPr>
        <w:t>alue transactions.</w:t>
      </w:r>
      <w:r w:rsidR="00775DFF" w:rsidRPr="00BB190B">
        <w:rPr>
          <w:lang w:val="en-US"/>
        </w:rPr>
        <w:t xml:space="preserve"> In this context, the category of healthcare professionals includes any full-time physicians and pharmacists located in Europe, as well as any healthcare professionals </w:t>
      </w:r>
      <w:r w:rsidR="00240F95" w:rsidRPr="00BB190B">
        <w:rPr>
          <w:lang w:val="en-US"/>
        </w:rPr>
        <w:t>from the medical, dental</w:t>
      </w:r>
      <w:r w:rsidR="00B13550" w:rsidRPr="00BB190B">
        <w:rPr>
          <w:lang w:val="en-US"/>
        </w:rPr>
        <w:t xml:space="preserve"> and</w:t>
      </w:r>
      <w:r w:rsidR="00240F95" w:rsidRPr="00BB190B">
        <w:rPr>
          <w:lang w:val="en-US"/>
        </w:rPr>
        <w:t xml:space="preserve"> pharmaceutical </w:t>
      </w:r>
      <w:r w:rsidR="00B13550" w:rsidRPr="00BB190B">
        <w:rPr>
          <w:lang w:val="en-US"/>
        </w:rPr>
        <w:t xml:space="preserve">field </w:t>
      </w:r>
      <w:r w:rsidR="00240F95" w:rsidRPr="00BB190B">
        <w:rPr>
          <w:lang w:val="en-US"/>
        </w:rPr>
        <w:t>or from any other kind of healthcare-related sectors, and any other kind of individuals who, within the framework of their professional activities, are entitled to prescribe or administer any medicinal products for huma</w:t>
      </w:r>
      <w:r w:rsidR="00B13550" w:rsidRPr="00BB190B">
        <w:rPr>
          <w:lang w:val="en-US"/>
        </w:rPr>
        <w:t>n use or to trade in this</w:t>
      </w:r>
      <w:r w:rsidR="00240F95" w:rsidRPr="00BB190B">
        <w:rPr>
          <w:lang w:val="en-US"/>
        </w:rPr>
        <w:t xml:space="preserve"> kind of pharmaceutical products. This category also covers and comprises, for example, any employees of public institutions, </w:t>
      </w:r>
      <w:r w:rsidR="0088160D" w:rsidRPr="00BB190B">
        <w:rPr>
          <w:lang w:val="en-US"/>
        </w:rPr>
        <w:t xml:space="preserve">health insurance companies and other kinds of cost units that are responsible </w:t>
      </w:r>
      <w:r w:rsidR="00B13550" w:rsidRPr="00BB190B">
        <w:rPr>
          <w:lang w:val="en-US"/>
        </w:rPr>
        <w:t>for or in charge o</w:t>
      </w:r>
      <w:r w:rsidR="0088160D" w:rsidRPr="00BB190B">
        <w:rPr>
          <w:lang w:val="en-US"/>
        </w:rPr>
        <w:t>f prescribing, purchasing, supplying or administering any medicinal products or who are entitled to decide on the reimbursability of such products.</w:t>
      </w:r>
      <w:r w:rsidR="0088160D" w:rsidRPr="00BB190B">
        <w:t xml:space="preserve"> The address of publication of the HCPs that are taken into account in the disclosure report </w:t>
      </w:r>
      <w:r w:rsidR="001E119A" w:rsidRPr="00BB190B">
        <w:t>will be</w:t>
      </w:r>
      <w:r w:rsidR="0088160D" w:rsidRPr="00BB190B">
        <w:t xml:space="preserve"> the primary practice address of the </w:t>
      </w:r>
      <w:r w:rsidR="00D30DA7" w:rsidRPr="00BB190B">
        <w:t xml:space="preserve">respective </w:t>
      </w:r>
      <w:r w:rsidR="0088160D" w:rsidRPr="00BB190B">
        <w:t>HCP.</w:t>
      </w:r>
    </w:p>
    <w:p w14:paraId="072BFE2F" w14:textId="16273DEA" w:rsidR="009445A9" w:rsidRPr="00614924" w:rsidRDefault="009445A9" w:rsidP="00BB190B">
      <w:pPr>
        <w:jc w:val="both"/>
        <w:rPr>
          <w:i/>
          <w:lang w:val="en-US"/>
        </w:rPr>
      </w:pPr>
    </w:p>
    <w:p w14:paraId="6F221F4D" w14:textId="0AB9CBF5" w:rsidR="007E68D4" w:rsidRPr="00614924" w:rsidRDefault="006B6F75" w:rsidP="00BB190B">
      <w:pPr>
        <w:pStyle w:val="Heading3"/>
        <w:numPr>
          <w:ilvl w:val="2"/>
          <w:numId w:val="5"/>
        </w:numPr>
        <w:ind w:left="567" w:hanging="567"/>
        <w:jc w:val="both"/>
        <w:rPr>
          <w:rFonts w:asciiTheme="minorHAnsi" w:hAnsiTheme="minorHAnsi"/>
          <w:lang w:val="en-US"/>
        </w:rPr>
      </w:pPr>
      <w:bookmarkStart w:id="9" w:name="_Toc311393065"/>
      <w:bookmarkStart w:id="10" w:name="_Toc454265273"/>
      <w:bookmarkEnd w:id="8"/>
      <w:r w:rsidRPr="00614924">
        <w:rPr>
          <w:rFonts w:asciiTheme="minorHAnsi" w:hAnsiTheme="minorHAnsi"/>
          <w:lang w:val="en-US"/>
        </w:rPr>
        <w:t>H</w:t>
      </w:r>
      <w:r w:rsidR="00DC171F" w:rsidRPr="00614924">
        <w:rPr>
          <w:rFonts w:asciiTheme="minorHAnsi" w:hAnsiTheme="minorHAnsi"/>
          <w:lang w:val="en-US"/>
        </w:rPr>
        <w:t>ealthcare Organiz</w:t>
      </w:r>
      <w:r w:rsidR="006C45F9" w:rsidRPr="00614924">
        <w:rPr>
          <w:rFonts w:asciiTheme="minorHAnsi" w:hAnsiTheme="minorHAnsi"/>
          <w:lang w:val="en-US"/>
        </w:rPr>
        <w:t>ations</w:t>
      </w:r>
      <w:r w:rsidRPr="00614924">
        <w:rPr>
          <w:rFonts w:asciiTheme="minorHAnsi" w:hAnsiTheme="minorHAnsi"/>
          <w:lang w:val="en-US"/>
        </w:rPr>
        <w:t xml:space="preserve"> </w:t>
      </w:r>
      <w:r w:rsidR="00DC171F" w:rsidRPr="00614924">
        <w:rPr>
          <w:rFonts w:asciiTheme="minorHAnsi" w:hAnsiTheme="minorHAnsi"/>
          <w:lang w:val="en-US"/>
        </w:rPr>
        <w:t>(</w:t>
      </w:r>
      <w:r w:rsidR="006C45F9" w:rsidRPr="00614924">
        <w:rPr>
          <w:rFonts w:asciiTheme="minorHAnsi" w:hAnsiTheme="minorHAnsi"/>
          <w:lang w:val="en-US"/>
        </w:rPr>
        <w:t xml:space="preserve">HCO): </w:t>
      </w:r>
      <w:r w:rsidR="00B13550" w:rsidRPr="00614924">
        <w:rPr>
          <w:rFonts w:asciiTheme="minorHAnsi" w:hAnsiTheme="minorHAnsi"/>
          <w:lang w:val="en-US"/>
        </w:rPr>
        <w:t>D</w:t>
      </w:r>
      <w:r w:rsidR="00C26BA8" w:rsidRPr="00614924">
        <w:rPr>
          <w:rFonts w:asciiTheme="minorHAnsi" w:hAnsiTheme="minorHAnsi"/>
          <w:lang w:val="en-US"/>
        </w:rPr>
        <w:t xml:space="preserve">efinition </w:t>
      </w:r>
      <w:r w:rsidR="00DC171F" w:rsidRPr="00614924">
        <w:rPr>
          <w:rFonts w:asciiTheme="minorHAnsi" w:hAnsiTheme="minorHAnsi"/>
          <w:lang w:val="en-US"/>
        </w:rPr>
        <w:t>a</w:t>
      </w:r>
      <w:r w:rsidR="00C26BA8" w:rsidRPr="00614924">
        <w:rPr>
          <w:rFonts w:asciiTheme="minorHAnsi" w:hAnsiTheme="minorHAnsi"/>
          <w:lang w:val="en-US"/>
        </w:rPr>
        <w:t xml:space="preserve">nd </w:t>
      </w:r>
      <w:bookmarkEnd w:id="9"/>
      <w:r w:rsidR="00B13550" w:rsidRPr="00614924">
        <w:rPr>
          <w:rFonts w:asciiTheme="minorHAnsi" w:hAnsiTheme="minorHAnsi"/>
          <w:lang w:val="en-US"/>
        </w:rPr>
        <w:t>S</w:t>
      </w:r>
      <w:r w:rsidRPr="00614924">
        <w:rPr>
          <w:rFonts w:asciiTheme="minorHAnsi" w:hAnsiTheme="minorHAnsi"/>
          <w:lang w:val="en-US"/>
        </w:rPr>
        <w:t>c</w:t>
      </w:r>
      <w:r w:rsidR="00DC171F" w:rsidRPr="00614924">
        <w:rPr>
          <w:rFonts w:asciiTheme="minorHAnsi" w:hAnsiTheme="minorHAnsi"/>
          <w:lang w:val="en-US"/>
        </w:rPr>
        <w:t>ope</w:t>
      </w:r>
      <w:bookmarkEnd w:id="10"/>
    </w:p>
    <w:p w14:paraId="2A4828DA" w14:textId="0A5DD053" w:rsidR="001E119A" w:rsidRDefault="00D30DA7" w:rsidP="00BB190B">
      <w:pPr>
        <w:jc w:val="both"/>
      </w:pPr>
      <w:r w:rsidRPr="00614924">
        <w:rPr>
          <w:lang w:val="en-US"/>
        </w:rPr>
        <w:t xml:space="preserve">In their disclosure report, the company Takeda </w:t>
      </w:r>
      <w:r w:rsidRPr="00BB190B">
        <w:rPr>
          <w:lang w:val="en-US"/>
        </w:rPr>
        <w:t>has taken into consideration the definitions established in line with the FSA code with regard to those healthcare organizations wit</w:t>
      </w:r>
      <w:r w:rsidR="002453E5" w:rsidRPr="00BB190B">
        <w:rPr>
          <w:lang w:val="en-US"/>
        </w:rPr>
        <w:t xml:space="preserve">h whom our company may </w:t>
      </w:r>
      <w:r w:rsidR="002453E5" w:rsidRPr="00BB190B">
        <w:rPr>
          <w:lang w:val="en-US"/>
        </w:rPr>
        <w:lastRenderedPageBreak/>
        <w:t>conduct T</w:t>
      </w:r>
      <w:r w:rsidRPr="00BB190B">
        <w:rPr>
          <w:lang w:val="en-US"/>
        </w:rPr>
        <w:t xml:space="preserve">ransfer of </w:t>
      </w:r>
      <w:r w:rsidR="002453E5" w:rsidRPr="00BB190B">
        <w:rPr>
          <w:lang w:val="en-US"/>
        </w:rPr>
        <w:t>V</w:t>
      </w:r>
      <w:r w:rsidRPr="00BB190B">
        <w:rPr>
          <w:lang w:val="en-US"/>
        </w:rPr>
        <w:t>alue transactions. Any kind of medical or scientific institutions or associations located in Europe and consisting of healthcare professionals are to be considered healt</w:t>
      </w:r>
      <w:r w:rsidR="00723760">
        <w:rPr>
          <w:lang w:val="en-US"/>
        </w:rPr>
        <w:t>h</w:t>
      </w:r>
      <w:r w:rsidRPr="00BB190B">
        <w:rPr>
          <w:lang w:val="en-US"/>
        </w:rPr>
        <w:t>care organizations, regardless of their respective legal structure; such organizations include the following: a</w:t>
      </w:r>
      <w:r w:rsidRPr="00BB190B">
        <w:rPr>
          <w:i/>
          <w:lang w:val="en-US"/>
        </w:rPr>
        <w:t xml:space="preserve">ssociations, hospital federations, hospital departments, </w:t>
      </w:r>
      <w:r w:rsidR="001E119A" w:rsidRPr="00BB190B">
        <w:rPr>
          <w:i/>
          <w:lang w:val="en-US"/>
        </w:rPr>
        <w:t>c</w:t>
      </w:r>
      <w:r w:rsidRPr="00BB190B">
        <w:rPr>
          <w:i/>
          <w:lang w:val="en-US"/>
        </w:rPr>
        <w:t>are education cente</w:t>
      </w:r>
      <w:r w:rsidR="001E119A" w:rsidRPr="00BB190B">
        <w:rPr>
          <w:i/>
          <w:lang w:val="en-US"/>
        </w:rPr>
        <w:t>rs</w:t>
      </w:r>
      <w:r w:rsidRPr="00BB190B">
        <w:rPr>
          <w:i/>
          <w:lang w:val="en-US"/>
        </w:rPr>
        <w:t xml:space="preserve">, </w:t>
      </w:r>
      <w:r w:rsidR="001E119A" w:rsidRPr="00BB190B">
        <w:rPr>
          <w:i/>
          <w:lang w:val="en-US"/>
        </w:rPr>
        <w:t>c</w:t>
      </w:r>
      <w:r w:rsidRPr="00BB190B">
        <w:rPr>
          <w:i/>
          <w:lang w:val="en-US"/>
        </w:rPr>
        <w:t>linic</w:t>
      </w:r>
      <w:r w:rsidR="001E119A" w:rsidRPr="00BB190B">
        <w:rPr>
          <w:i/>
          <w:lang w:val="en-US"/>
        </w:rPr>
        <w:t>s</w:t>
      </w:r>
      <w:r w:rsidRPr="00BB190B">
        <w:rPr>
          <w:i/>
          <w:lang w:val="en-US"/>
        </w:rPr>
        <w:t xml:space="preserve">, </w:t>
      </w:r>
      <w:r w:rsidR="001E119A" w:rsidRPr="00BB190B">
        <w:rPr>
          <w:i/>
          <w:lang w:val="en-US"/>
        </w:rPr>
        <w:t>d</w:t>
      </w:r>
      <w:r w:rsidRPr="00BB190B">
        <w:rPr>
          <w:i/>
          <w:lang w:val="en-US"/>
        </w:rPr>
        <w:t xml:space="preserve">ental </w:t>
      </w:r>
      <w:r w:rsidR="001E119A" w:rsidRPr="00BB190B">
        <w:rPr>
          <w:i/>
          <w:lang w:val="en-US"/>
        </w:rPr>
        <w:t>c</w:t>
      </w:r>
      <w:r w:rsidRPr="00BB190B">
        <w:rPr>
          <w:i/>
          <w:lang w:val="en-US"/>
        </w:rPr>
        <w:t>linic</w:t>
      </w:r>
      <w:r w:rsidR="001E119A" w:rsidRPr="00BB190B">
        <w:rPr>
          <w:i/>
          <w:lang w:val="en-US"/>
        </w:rPr>
        <w:t>s</w:t>
      </w:r>
      <w:r w:rsidRPr="00BB190B">
        <w:rPr>
          <w:i/>
          <w:lang w:val="en-US"/>
        </w:rPr>
        <w:t xml:space="preserve">, </w:t>
      </w:r>
      <w:r w:rsidR="001E119A" w:rsidRPr="00BB190B">
        <w:rPr>
          <w:i/>
          <w:lang w:val="en-US"/>
        </w:rPr>
        <w:t>dispensar</w:t>
      </w:r>
      <w:r w:rsidR="002453E5" w:rsidRPr="00BB190B">
        <w:rPr>
          <w:i/>
          <w:lang w:val="en-US"/>
        </w:rPr>
        <w:t>ies</w:t>
      </w:r>
      <w:r w:rsidR="001E119A" w:rsidRPr="00BB190B">
        <w:rPr>
          <w:i/>
          <w:lang w:val="en-US"/>
        </w:rPr>
        <w:t>, i</w:t>
      </w:r>
      <w:r w:rsidRPr="00BB190B">
        <w:rPr>
          <w:i/>
          <w:lang w:val="en-US"/>
        </w:rPr>
        <w:t>nstitution</w:t>
      </w:r>
      <w:r w:rsidR="001E119A" w:rsidRPr="00BB190B">
        <w:rPr>
          <w:i/>
          <w:lang w:val="en-US"/>
        </w:rPr>
        <w:t>s</w:t>
      </w:r>
      <w:r w:rsidRPr="00BB190B">
        <w:rPr>
          <w:i/>
          <w:lang w:val="en-US"/>
        </w:rPr>
        <w:t xml:space="preserve">, </w:t>
      </w:r>
      <w:r w:rsidR="001E119A" w:rsidRPr="00BB190B">
        <w:rPr>
          <w:i/>
          <w:lang w:val="en-US"/>
        </w:rPr>
        <w:t>f</w:t>
      </w:r>
      <w:r w:rsidRPr="00BB190B">
        <w:rPr>
          <w:i/>
          <w:lang w:val="en-US"/>
        </w:rPr>
        <w:t>acult</w:t>
      </w:r>
      <w:r w:rsidR="001E119A" w:rsidRPr="00BB190B">
        <w:rPr>
          <w:i/>
          <w:lang w:val="en-US"/>
        </w:rPr>
        <w:t>ies</w:t>
      </w:r>
      <w:r w:rsidRPr="00BB190B">
        <w:rPr>
          <w:i/>
          <w:lang w:val="en-US"/>
        </w:rPr>
        <w:t xml:space="preserve">, </w:t>
      </w:r>
      <w:r w:rsidR="001E119A" w:rsidRPr="00BB190B">
        <w:rPr>
          <w:i/>
          <w:lang w:val="en-US"/>
        </w:rPr>
        <w:t>u</w:t>
      </w:r>
      <w:r w:rsidRPr="00BB190B">
        <w:rPr>
          <w:i/>
          <w:lang w:val="en-US"/>
        </w:rPr>
        <w:t>niversit</w:t>
      </w:r>
      <w:r w:rsidR="001E119A" w:rsidRPr="00BB190B">
        <w:rPr>
          <w:i/>
          <w:lang w:val="en-US"/>
        </w:rPr>
        <w:t>ies</w:t>
      </w:r>
      <w:r w:rsidRPr="00BB190B">
        <w:rPr>
          <w:i/>
          <w:lang w:val="en-US"/>
        </w:rPr>
        <w:t xml:space="preserve">, </w:t>
      </w:r>
      <w:r w:rsidR="001E119A" w:rsidRPr="00BB190B">
        <w:rPr>
          <w:i/>
          <w:lang w:val="en-US"/>
        </w:rPr>
        <w:t>a</w:t>
      </w:r>
      <w:r w:rsidRPr="00BB190B">
        <w:rPr>
          <w:i/>
          <w:lang w:val="en-US"/>
        </w:rPr>
        <w:t>cadem</w:t>
      </w:r>
      <w:r w:rsidR="001E119A" w:rsidRPr="00BB190B">
        <w:rPr>
          <w:i/>
          <w:lang w:val="en-US"/>
        </w:rPr>
        <w:t>ic</w:t>
      </w:r>
      <w:r w:rsidRPr="00BB190B">
        <w:rPr>
          <w:i/>
          <w:lang w:val="en-US"/>
        </w:rPr>
        <w:t xml:space="preserve"> school</w:t>
      </w:r>
      <w:r w:rsidR="001E119A" w:rsidRPr="00BB190B">
        <w:rPr>
          <w:i/>
          <w:lang w:val="en-US"/>
        </w:rPr>
        <w:t>s</w:t>
      </w:r>
      <w:r w:rsidRPr="00BB190B">
        <w:rPr>
          <w:i/>
          <w:lang w:val="en-US"/>
        </w:rPr>
        <w:t xml:space="preserve">, </w:t>
      </w:r>
      <w:r w:rsidR="001E119A" w:rsidRPr="00BB190B">
        <w:rPr>
          <w:i/>
          <w:lang w:val="en-US"/>
        </w:rPr>
        <w:t>f</w:t>
      </w:r>
      <w:r w:rsidRPr="00BB190B">
        <w:rPr>
          <w:i/>
          <w:lang w:val="en-US"/>
        </w:rPr>
        <w:t>oundation</w:t>
      </w:r>
      <w:r w:rsidR="001E119A" w:rsidRPr="00BB190B">
        <w:rPr>
          <w:i/>
          <w:lang w:val="en-US"/>
        </w:rPr>
        <w:t>s</w:t>
      </w:r>
      <w:r w:rsidRPr="00BB190B">
        <w:rPr>
          <w:i/>
          <w:lang w:val="en-US"/>
        </w:rPr>
        <w:t xml:space="preserve">, </w:t>
      </w:r>
      <w:r w:rsidR="001E119A" w:rsidRPr="00BB190B">
        <w:rPr>
          <w:i/>
          <w:lang w:val="en-US"/>
        </w:rPr>
        <w:t>pools or groupings</w:t>
      </w:r>
      <w:r w:rsidRPr="00BB190B">
        <w:rPr>
          <w:i/>
          <w:lang w:val="en-US"/>
        </w:rPr>
        <w:t xml:space="preserve"> of pharmacies, </w:t>
      </w:r>
      <w:r w:rsidR="001E119A" w:rsidRPr="00BB190B">
        <w:rPr>
          <w:i/>
          <w:lang w:val="en-US"/>
        </w:rPr>
        <w:t>h</w:t>
      </w:r>
      <w:r w:rsidRPr="00BB190B">
        <w:rPr>
          <w:i/>
          <w:lang w:val="en-US"/>
        </w:rPr>
        <w:t>ealth</w:t>
      </w:r>
      <w:r w:rsidR="001E119A" w:rsidRPr="00BB190B">
        <w:rPr>
          <w:i/>
          <w:lang w:val="en-US"/>
        </w:rPr>
        <w:t>care</w:t>
      </w:r>
      <w:r w:rsidRPr="00BB190B">
        <w:rPr>
          <w:i/>
          <w:lang w:val="en-US"/>
        </w:rPr>
        <w:t xml:space="preserve"> institution</w:t>
      </w:r>
      <w:r w:rsidR="001E119A" w:rsidRPr="00BB190B">
        <w:rPr>
          <w:i/>
          <w:lang w:val="en-US"/>
        </w:rPr>
        <w:t>s</w:t>
      </w:r>
      <w:r w:rsidRPr="00BB190B">
        <w:rPr>
          <w:lang w:val="en-US"/>
        </w:rPr>
        <w:t>).</w:t>
      </w:r>
      <w:r w:rsidR="001E119A" w:rsidRPr="00BB190B">
        <w:t xml:space="preserve"> The address of publication of the HCOs that are taken into account in the disclosure report will be the public address of the </w:t>
      </w:r>
      <w:r w:rsidR="002453E5" w:rsidRPr="00BB190B">
        <w:t xml:space="preserve">respective </w:t>
      </w:r>
      <w:r w:rsidR="001E119A" w:rsidRPr="00BB190B">
        <w:t>HCO.</w:t>
      </w:r>
    </w:p>
    <w:p w14:paraId="2C5F357F" w14:textId="0844085E" w:rsidR="009445A9" w:rsidRPr="00614924" w:rsidRDefault="00D30DA7" w:rsidP="00BB190B">
      <w:pPr>
        <w:jc w:val="both"/>
        <w:rPr>
          <w:lang w:val="en-US"/>
        </w:rPr>
      </w:pPr>
      <w:r w:rsidRPr="00614924">
        <w:rPr>
          <w:lang w:val="en-US"/>
        </w:rPr>
        <w:t xml:space="preserve"> </w:t>
      </w:r>
    </w:p>
    <w:p w14:paraId="52E4D87E" w14:textId="35071876" w:rsidR="009445A9" w:rsidRPr="00614924" w:rsidRDefault="00D33EA7" w:rsidP="00BB190B">
      <w:pPr>
        <w:pStyle w:val="Heading3"/>
        <w:numPr>
          <w:ilvl w:val="2"/>
          <w:numId w:val="5"/>
        </w:numPr>
        <w:ind w:left="567" w:hanging="567"/>
        <w:jc w:val="both"/>
        <w:rPr>
          <w:rFonts w:asciiTheme="minorHAnsi" w:hAnsiTheme="minorHAnsi"/>
          <w:lang w:val="en-US"/>
        </w:rPr>
      </w:pPr>
      <w:bookmarkStart w:id="11" w:name="_Toc454265274"/>
      <w:r w:rsidRPr="00614924">
        <w:rPr>
          <w:rFonts w:asciiTheme="minorHAnsi" w:hAnsiTheme="minorHAnsi"/>
          <w:lang w:val="en-US"/>
        </w:rPr>
        <w:t xml:space="preserve">Companies </w:t>
      </w:r>
      <w:r w:rsidR="0074618B" w:rsidRPr="00614924">
        <w:rPr>
          <w:rFonts w:asciiTheme="minorHAnsi" w:hAnsiTheme="minorHAnsi"/>
          <w:lang w:val="en-US"/>
        </w:rPr>
        <w:t>O</w:t>
      </w:r>
      <w:r w:rsidRPr="00614924">
        <w:rPr>
          <w:rFonts w:asciiTheme="minorHAnsi" w:hAnsiTheme="minorHAnsi"/>
          <w:lang w:val="en-US"/>
        </w:rPr>
        <w:t>wned by a Healthcare Professional</w:t>
      </w:r>
      <w:bookmarkEnd w:id="11"/>
    </w:p>
    <w:p w14:paraId="1101B4AE" w14:textId="2413101C" w:rsidR="006F3B23" w:rsidRPr="00614924" w:rsidRDefault="00677229" w:rsidP="00BB190B">
      <w:pPr>
        <w:jc w:val="both"/>
        <w:rPr>
          <w:lang w:val="en-US"/>
        </w:rPr>
      </w:pPr>
      <w:r w:rsidRPr="00BB190B">
        <w:rPr>
          <w:lang w:val="en-US"/>
        </w:rPr>
        <w:t>I</w:t>
      </w:r>
      <w:r w:rsidR="0074618B" w:rsidRPr="00BB190B">
        <w:rPr>
          <w:lang w:val="en-US"/>
        </w:rPr>
        <w:t xml:space="preserve">n case </w:t>
      </w:r>
      <w:r w:rsidRPr="00BB190B">
        <w:rPr>
          <w:lang w:val="en-US"/>
        </w:rPr>
        <w:t xml:space="preserve">a </w:t>
      </w:r>
      <w:r w:rsidR="0074618B" w:rsidRPr="00BB190B">
        <w:rPr>
          <w:lang w:val="en-US"/>
        </w:rPr>
        <w:t>T</w:t>
      </w:r>
      <w:r w:rsidRPr="00BB190B">
        <w:rPr>
          <w:lang w:val="en-US"/>
        </w:rPr>
        <w:t>ran</w:t>
      </w:r>
      <w:r w:rsidR="0074618B" w:rsidRPr="00BB190B">
        <w:rPr>
          <w:lang w:val="en-US"/>
        </w:rPr>
        <w:t>s</w:t>
      </w:r>
      <w:r w:rsidRPr="00BB190B">
        <w:rPr>
          <w:lang w:val="en-US"/>
        </w:rPr>
        <w:t xml:space="preserve">fer of </w:t>
      </w:r>
      <w:r w:rsidR="0074618B" w:rsidRPr="00BB190B">
        <w:rPr>
          <w:lang w:val="en-US"/>
        </w:rPr>
        <w:t>V</w:t>
      </w:r>
      <w:r w:rsidRPr="00BB190B">
        <w:rPr>
          <w:lang w:val="en-US"/>
        </w:rPr>
        <w:t>alue made in favor of a company (HCO) can be indirectly assigned to a</w:t>
      </w:r>
      <w:r w:rsidR="0074618B" w:rsidRPr="00BB190B">
        <w:rPr>
          <w:lang w:val="en-US"/>
        </w:rPr>
        <w:t xml:space="preserve"> HCP, that</w:t>
      </w:r>
      <w:r w:rsidRPr="00BB190B">
        <w:rPr>
          <w:lang w:val="en-US"/>
        </w:rPr>
        <w:t xml:space="preserve"> </w:t>
      </w:r>
      <w:r w:rsidR="0074618B" w:rsidRPr="00BB190B">
        <w:rPr>
          <w:lang w:val="en-US"/>
        </w:rPr>
        <w:t>T</w:t>
      </w:r>
      <w:r w:rsidRPr="00BB190B">
        <w:rPr>
          <w:lang w:val="en-US"/>
        </w:rPr>
        <w:t>ransfer</w:t>
      </w:r>
      <w:r w:rsidRPr="00BB190B">
        <w:t xml:space="preserve"> of </w:t>
      </w:r>
      <w:r w:rsidR="0074618B" w:rsidRPr="00BB190B">
        <w:t>V</w:t>
      </w:r>
      <w:r w:rsidRPr="00BB190B">
        <w:t xml:space="preserve">alue is reported and disclosed by assigning or allocating this ToV to that </w:t>
      </w:r>
      <w:r w:rsidRPr="00BB190B">
        <w:rPr>
          <w:rFonts w:eastAsiaTheme="majorEastAsia" w:cstheme="majorBidi"/>
          <w:bCs/>
          <w:color w:val="000000" w:themeColor="text1"/>
        </w:rPr>
        <w:t xml:space="preserve">individual HCP. If, however, the company is owned by more than one HCP, the </w:t>
      </w:r>
      <w:r w:rsidR="0074618B" w:rsidRPr="00BB190B">
        <w:rPr>
          <w:rFonts w:eastAsiaTheme="majorEastAsia" w:cstheme="majorBidi"/>
          <w:bCs/>
          <w:color w:val="000000" w:themeColor="text1"/>
        </w:rPr>
        <w:t>T</w:t>
      </w:r>
      <w:r w:rsidRPr="00BB190B">
        <w:rPr>
          <w:rFonts w:eastAsiaTheme="majorEastAsia" w:cstheme="majorBidi"/>
          <w:bCs/>
          <w:color w:val="000000" w:themeColor="text1"/>
        </w:rPr>
        <w:t xml:space="preserve">ransfer of </w:t>
      </w:r>
      <w:r w:rsidR="0074618B" w:rsidRPr="00BB190B">
        <w:rPr>
          <w:rFonts w:eastAsiaTheme="majorEastAsia" w:cstheme="majorBidi"/>
          <w:bCs/>
          <w:color w:val="000000" w:themeColor="text1"/>
        </w:rPr>
        <w:t>V</w:t>
      </w:r>
      <w:r w:rsidRPr="00BB190B">
        <w:rPr>
          <w:rFonts w:eastAsiaTheme="majorEastAsia" w:cstheme="majorBidi"/>
          <w:bCs/>
          <w:color w:val="000000" w:themeColor="text1"/>
        </w:rPr>
        <w:t xml:space="preserve">alue is reported and disclosed as a </w:t>
      </w:r>
      <w:r w:rsidR="0074618B" w:rsidRPr="00BB190B">
        <w:rPr>
          <w:rFonts w:eastAsiaTheme="majorEastAsia" w:cstheme="majorBidi"/>
          <w:bCs/>
          <w:color w:val="000000" w:themeColor="text1"/>
        </w:rPr>
        <w:t>T</w:t>
      </w:r>
      <w:r w:rsidRPr="00BB190B">
        <w:rPr>
          <w:rFonts w:eastAsiaTheme="majorEastAsia" w:cstheme="majorBidi"/>
          <w:bCs/>
          <w:color w:val="000000" w:themeColor="text1"/>
        </w:rPr>
        <w:t xml:space="preserve">ransfer of </w:t>
      </w:r>
      <w:r w:rsidR="0074618B" w:rsidRPr="00BB190B">
        <w:rPr>
          <w:rFonts w:eastAsiaTheme="majorEastAsia" w:cstheme="majorBidi"/>
          <w:bCs/>
          <w:color w:val="000000" w:themeColor="text1"/>
        </w:rPr>
        <w:t>V</w:t>
      </w:r>
      <w:r w:rsidRPr="00BB190B">
        <w:rPr>
          <w:rFonts w:eastAsiaTheme="majorEastAsia" w:cstheme="majorBidi"/>
          <w:bCs/>
          <w:color w:val="000000" w:themeColor="text1"/>
        </w:rPr>
        <w:t xml:space="preserve">alue made in </w:t>
      </w:r>
      <w:r w:rsidR="00723760" w:rsidRPr="00BB190B">
        <w:rPr>
          <w:rFonts w:eastAsiaTheme="majorEastAsia" w:cstheme="majorBidi"/>
          <w:bCs/>
          <w:color w:val="000000" w:themeColor="text1"/>
        </w:rPr>
        <w:t>favour</w:t>
      </w:r>
      <w:r w:rsidRPr="00BB190B">
        <w:rPr>
          <w:rFonts w:eastAsiaTheme="majorEastAsia" w:cstheme="majorBidi"/>
          <w:bCs/>
          <w:color w:val="000000" w:themeColor="text1"/>
        </w:rPr>
        <w:t xml:space="preserve"> an HCO</w:t>
      </w:r>
      <w:r w:rsidR="006F3B23" w:rsidRPr="00BB190B">
        <w:rPr>
          <w:rFonts w:eastAsiaTheme="majorEastAsia" w:cstheme="majorBidi"/>
          <w:bCs/>
          <w:color w:val="000000" w:themeColor="text1"/>
          <w:lang w:val="en-US"/>
        </w:rPr>
        <w:t>.</w:t>
      </w:r>
    </w:p>
    <w:p w14:paraId="097D3FD2" w14:textId="77777777" w:rsidR="006F3B23" w:rsidRPr="00614924" w:rsidRDefault="006F3B23" w:rsidP="00BB190B">
      <w:pPr>
        <w:jc w:val="both"/>
        <w:rPr>
          <w:highlight w:val="yellow"/>
          <w:lang w:val="en-US"/>
        </w:rPr>
      </w:pPr>
    </w:p>
    <w:p w14:paraId="348D8AFF" w14:textId="1A30AA8F" w:rsidR="00B53254" w:rsidRPr="00C0602C" w:rsidRDefault="00677229" w:rsidP="00BB190B">
      <w:pPr>
        <w:pStyle w:val="Heading3"/>
        <w:numPr>
          <w:ilvl w:val="2"/>
          <w:numId w:val="5"/>
        </w:numPr>
        <w:ind w:left="567" w:hanging="567"/>
        <w:jc w:val="both"/>
        <w:rPr>
          <w:b w:val="0"/>
        </w:rPr>
      </w:pPr>
      <w:bookmarkStart w:id="12" w:name="_Toc454265275"/>
      <w:bookmarkStart w:id="13" w:name="_Toc408833766"/>
      <w:r>
        <w:rPr>
          <w:rFonts w:asciiTheme="minorHAnsi" w:hAnsiTheme="minorHAnsi"/>
        </w:rPr>
        <w:t xml:space="preserve">Clearly </w:t>
      </w:r>
      <w:r w:rsidR="0074618B">
        <w:rPr>
          <w:rFonts w:asciiTheme="minorHAnsi" w:hAnsiTheme="minorHAnsi"/>
        </w:rPr>
        <w:t>I</w:t>
      </w:r>
      <w:r>
        <w:rPr>
          <w:rFonts w:asciiTheme="minorHAnsi" w:hAnsiTheme="minorHAnsi"/>
        </w:rPr>
        <w:t xml:space="preserve">dentifiable </w:t>
      </w:r>
      <w:r w:rsidR="0074618B">
        <w:rPr>
          <w:rFonts w:asciiTheme="minorHAnsi" w:hAnsiTheme="minorHAnsi"/>
        </w:rPr>
        <w:t>R</w:t>
      </w:r>
      <w:r>
        <w:rPr>
          <w:rFonts w:asciiTheme="minorHAnsi" w:hAnsiTheme="minorHAnsi"/>
        </w:rPr>
        <w:t>ecipient</w:t>
      </w:r>
      <w:bookmarkEnd w:id="12"/>
    </w:p>
    <w:p w14:paraId="7834D4F0" w14:textId="61D276F9" w:rsidR="00B53254" w:rsidRPr="00614924" w:rsidRDefault="00677229" w:rsidP="00BB190B">
      <w:pPr>
        <w:jc w:val="both"/>
        <w:rPr>
          <w:lang w:val="en-US"/>
        </w:rPr>
      </w:pPr>
      <w:r>
        <w:t xml:space="preserve">Takeda has put in place an internal process in order to ensure that  </w:t>
      </w:r>
      <w:r w:rsidR="0074618B">
        <w:t>T</w:t>
      </w:r>
      <w:r>
        <w:t>ransfer</w:t>
      </w:r>
      <w:r w:rsidR="0074618B">
        <w:t>s</w:t>
      </w:r>
      <w:r>
        <w:t xml:space="preserve"> of </w:t>
      </w:r>
      <w:r w:rsidR="0074618B">
        <w:t>V</w:t>
      </w:r>
      <w:r>
        <w:t xml:space="preserve">alue are allocated  to the proper HCP or HCO, and to make sure that the </w:t>
      </w:r>
      <w:r w:rsidRPr="008A5507">
        <w:t xml:space="preserve">disclosed information </w:t>
      </w:r>
      <w:r>
        <w:t>is accurate and complete (e.g. name, address, country of</w:t>
      </w:r>
      <w:r w:rsidR="0074618B">
        <w:t xml:space="preserve"> primary</w:t>
      </w:r>
      <w:r>
        <w:t xml:space="preserve"> practice).</w:t>
      </w:r>
    </w:p>
    <w:p w14:paraId="38BCB447" w14:textId="77777777" w:rsidR="00F671C7" w:rsidRPr="00614924" w:rsidRDefault="00F671C7" w:rsidP="00BB190B">
      <w:pPr>
        <w:jc w:val="both"/>
        <w:rPr>
          <w:lang w:val="en-US"/>
        </w:rPr>
      </w:pPr>
    </w:p>
    <w:p w14:paraId="19944B14" w14:textId="74A741EC" w:rsidR="001E1973" w:rsidRPr="00724A0F" w:rsidRDefault="00CB7D69" w:rsidP="00BB190B">
      <w:pPr>
        <w:pStyle w:val="Heading2"/>
        <w:numPr>
          <w:ilvl w:val="1"/>
          <w:numId w:val="5"/>
        </w:numPr>
        <w:ind w:hanging="574"/>
        <w:jc w:val="both"/>
        <w:rPr>
          <w:rFonts w:asciiTheme="minorHAnsi" w:hAnsiTheme="minorHAnsi"/>
        </w:rPr>
      </w:pPr>
      <w:bookmarkStart w:id="14" w:name="_Toc454265276"/>
      <w:bookmarkEnd w:id="13"/>
      <w:r>
        <w:rPr>
          <w:rFonts w:asciiTheme="minorHAnsi" w:hAnsiTheme="minorHAnsi"/>
        </w:rPr>
        <w:t xml:space="preserve">Medicinal </w:t>
      </w:r>
      <w:r w:rsidR="0074618B">
        <w:rPr>
          <w:rFonts w:asciiTheme="minorHAnsi" w:hAnsiTheme="minorHAnsi"/>
        </w:rPr>
        <w:t>S</w:t>
      </w:r>
      <w:r>
        <w:rPr>
          <w:rFonts w:asciiTheme="minorHAnsi" w:hAnsiTheme="minorHAnsi"/>
        </w:rPr>
        <w:t>cope</w:t>
      </w:r>
      <w:bookmarkEnd w:id="14"/>
    </w:p>
    <w:p w14:paraId="161C9EC7" w14:textId="643039AF" w:rsidR="00F671C7" w:rsidRPr="00614924" w:rsidRDefault="00CB7D69" w:rsidP="00BB190B">
      <w:pPr>
        <w:jc w:val="both"/>
        <w:rPr>
          <w:lang w:val="en-US"/>
        </w:rPr>
      </w:pPr>
      <w:r w:rsidRPr="00BB190B">
        <w:rPr>
          <w:lang w:val="en-US"/>
        </w:rPr>
        <w:t>This report includes and takes into consideration any kind of interactions with HCP</w:t>
      </w:r>
      <w:r w:rsidR="001D11E9" w:rsidRPr="00BB190B">
        <w:rPr>
          <w:lang w:val="en-US"/>
        </w:rPr>
        <w:t>s</w:t>
      </w:r>
      <w:r w:rsidRPr="00BB190B">
        <w:rPr>
          <w:lang w:val="en-US"/>
        </w:rPr>
        <w:t xml:space="preserve"> and HCO</w:t>
      </w:r>
      <w:r w:rsidR="001D11E9" w:rsidRPr="00BB190B">
        <w:rPr>
          <w:lang w:val="en-US"/>
        </w:rPr>
        <w:t>s</w:t>
      </w:r>
      <w:r w:rsidRPr="00BB190B">
        <w:rPr>
          <w:lang w:val="en-US"/>
        </w:rPr>
        <w:t xml:space="preserve">, irrespective of </w:t>
      </w:r>
      <w:r w:rsidR="00322B2F" w:rsidRPr="00BB190B">
        <w:rPr>
          <w:lang w:val="en-US"/>
        </w:rPr>
        <w:t>whether the collaboration relates</w:t>
      </w:r>
      <w:r w:rsidRPr="00BB190B">
        <w:rPr>
          <w:lang w:val="en-US"/>
        </w:rPr>
        <w:t xml:space="preserve"> to </w:t>
      </w:r>
      <w:r w:rsidR="003565B9" w:rsidRPr="00BB190B">
        <w:rPr>
          <w:lang w:val="en-US"/>
        </w:rPr>
        <w:t xml:space="preserve">any </w:t>
      </w:r>
      <w:r w:rsidRPr="00BB190B">
        <w:rPr>
          <w:lang w:val="en-US"/>
        </w:rPr>
        <w:t xml:space="preserve">prescription </w:t>
      </w:r>
      <w:r w:rsidR="00322B2F" w:rsidRPr="00BB190B">
        <w:rPr>
          <w:lang w:val="en-US"/>
        </w:rPr>
        <w:t>drugs or to over-the-counter (non-prescription) products</w:t>
      </w:r>
      <w:r w:rsidR="00DE2C33" w:rsidRPr="00BB190B">
        <w:rPr>
          <w:lang w:val="en-US"/>
        </w:rPr>
        <w:t>.</w:t>
      </w:r>
      <w:r w:rsidR="00A36B06" w:rsidRPr="00614924">
        <w:rPr>
          <w:lang w:val="en-US"/>
        </w:rPr>
        <w:t xml:space="preserve"> </w:t>
      </w:r>
      <w:bookmarkStart w:id="15" w:name="_Toc311393067"/>
      <w:bookmarkStart w:id="16" w:name="_Toc313555993"/>
    </w:p>
    <w:p w14:paraId="29B20825" w14:textId="77777777" w:rsidR="00F671C7" w:rsidRPr="00614924" w:rsidRDefault="00F671C7" w:rsidP="00BB190B">
      <w:pPr>
        <w:jc w:val="both"/>
        <w:rPr>
          <w:lang w:val="en-US"/>
        </w:rPr>
      </w:pPr>
    </w:p>
    <w:p w14:paraId="15044EE3" w14:textId="31FB8150" w:rsidR="00F671C7" w:rsidRPr="00724A0F" w:rsidRDefault="00F671C7" w:rsidP="00BB190B">
      <w:pPr>
        <w:pStyle w:val="Heading2"/>
        <w:numPr>
          <w:ilvl w:val="1"/>
          <w:numId w:val="5"/>
        </w:numPr>
        <w:ind w:left="567" w:hanging="567"/>
        <w:jc w:val="both"/>
        <w:rPr>
          <w:rFonts w:asciiTheme="minorHAnsi" w:hAnsiTheme="minorHAnsi"/>
        </w:rPr>
      </w:pPr>
      <w:r w:rsidRPr="00614924">
        <w:rPr>
          <w:rFonts w:asciiTheme="minorHAnsi" w:hAnsiTheme="minorHAnsi"/>
          <w:lang w:val="en-US"/>
        </w:rPr>
        <w:t xml:space="preserve"> </w:t>
      </w:r>
      <w:bookmarkStart w:id="17" w:name="_Toc454265277"/>
      <w:r w:rsidR="00322B2F">
        <w:rPr>
          <w:rFonts w:asciiTheme="minorHAnsi" w:hAnsiTheme="minorHAnsi"/>
        </w:rPr>
        <w:t xml:space="preserve">Scope regarding </w:t>
      </w:r>
      <w:r w:rsidR="00D84BF0">
        <w:rPr>
          <w:rFonts w:asciiTheme="minorHAnsi" w:hAnsiTheme="minorHAnsi"/>
        </w:rPr>
        <w:t>T</w:t>
      </w:r>
      <w:r w:rsidR="00322B2F">
        <w:rPr>
          <w:rFonts w:asciiTheme="minorHAnsi" w:hAnsiTheme="minorHAnsi"/>
        </w:rPr>
        <w:t xml:space="preserve">ransfer of </w:t>
      </w:r>
      <w:r w:rsidR="00D84BF0">
        <w:rPr>
          <w:rFonts w:asciiTheme="minorHAnsi" w:hAnsiTheme="minorHAnsi"/>
        </w:rPr>
        <w:t>V</w:t>
      </w:r>
      <w:r w:rsidR="00322B2F">
        <w:rPr>
          <w:rFonts w:asciiTheme="minorHAnsi" w:hAnsiTheme="minorHAnsi"/>
        </w:rPr>
        <w:t>alue activities</w:t>
      </w:r>
      <w:bookmarkEnd w:id="17"/>
    </w:p>
    <w:bookmarkEnd w:id="15"/>
    <w:bookmarkEnd w:id="16"/>
    <w:p w14:paraId="2D7C1D44" w14:textId="53A54F42" w:rsidR="007C5547" w:rsidRPr="005830E6" w:rsidRDefault="007C5547" w:rsidP="00BB190B">
      <w:pPr>
        <w:jc w:val="both"/>
      </w:pPr>
      <w:r>
        <w:t>The definitions of the activities concerned may vary amongst companies.  Within the Takeda group, all our interactions with healthcare professionals (H</w:t>
      </w:r>
      <w:r w:rsidR="00FA2139">
        <w:t>CPs) are regulated by internal p</w:t>
      </w:r>
      <w:r>
        <w:t xml:space="preserve">olicies and Standard Operating Procedures </w:t>
      </w:r>
      <w:r w:rsidR="00FA2139">
        <w:t xml:space="preserve">(SOPs) </w:t>
      </w:r>
      <w:r>
        <w:t xml:space="preserve">that have been developed in alignment with industry codes and guidelines and </w:t>
      </w:r>
      <w:r w:rsidR="00FA2139">
        <w:t xml:space="preserve">which are </w:t>
      </w:r>
      <w:r>
        <w:t>in line with local country laws and regulations a</w:t>
      </w:r>
      <w:r w:rsidR="00FA2139">
        <w:t xml:space="preserve">s well as </w:t>
      </w:r>
      <w:r>
        <w:t xml:space="preserve">with local industry requirements.  Please find below with our company definitions to </w:t>
      </w:r>
      <w:r w:rsidR="002032FF">
        <w:t xml:space="preserve">make it </w:t>
      </w:r>
      <w:r>
        <w:t>eas</w:t>
      </w:r>
      <w:r w:rsidR="002032FF">
        <w:t>i</w:t>
      </w:r>
      <w:r>
        <w:t>e</w:t>
      </w:r>
      <w:r w:rsidR="002032FF">
        <w:t>r for you to read and understand</w:t>
      </w:r>
      <w:r>
        <w:t xml:space="preserve"> our </w:t>
      </w:r>
      <w:r w:rsidR="002032FF">
        <w:t>d</w:t>
      </w:r>
      <w:r>
        <w:t>isclosure report.</w:t>
      </w:r>
    </w:p>
    <w:p w14:paraId="377E91CB" w14:textId="6245DEAA" w:rsidR="005830E6" w:rsidRPr="00614924" w:rsidRDefault="005830E6" w:rsidP="00BB190B">
      <w:pPr>
        <w:jc w:val="both"/>
        <w:rPr>
          <w:lang w:val="en-US"/>
        </w:rPr>
      </w:pPr>
    </w:p>
    <w:p w14:paraId="3319D98E" w14:textId="1772242F" w:rsidR="00067B68" w:rsidRPr="00614924" w:rsidRDefault="001C41E2" w:rsidP="00BB190B">
      <w:pPr>
        <w:pStyle w:val="Heading3"/>
        <w:numPr>
          <w:ilvl w:val="2"/>
          <w:numId w:val="45"/>
        </w:numPr>
        <w:ind w:left="567" w:hanging="567"/>
        <w:jc w:val="both"/>
        <w:rPr>
          <w:rFonts w:asciiTheme="minorHAnsi" w:hAnsiTheme="minorHAnsi"/>
          <w:lang w:val="en-US"/>
        </w:rPr>
      </w:pPr>
      <w:bookmarkStart w:id="18" w:name="_Toc454265278"/>
      <w:bookmarkStart w:id="19" w:name="_Toc408833751"/>
      <w:r w:rsidRPr="00614924">
        <w:rPr>
          <w:rFonts w:asciiTheme="minorHAnsi" w:hAnsiTheme="minorHAnsi"/>
          <w:lang w:val="en-US"/>
        </w:rPr>
        <w:t>Grants and Donations to Healthcare Organizations (HCO)</w:t>
      </w:r>
      <w:bookmarkEnd w:id="18"/>
    </w:p>
    <w:p w14:paraId="7462B6F4" w14:textId="3CA3FC35" w:rsidR="001C41E2" w:rsidRPr="00887500" w:rsidRDefault="001C41E2" w:rsidP="00BB190B">
      <w:pPr>
        <w:jc w:val="both"/>
      </w:pPr>
      <w:r w:rsidRPr="00887500">
        <w:t>A</w:t>
      </w:r>
      <w:r w:rsidR="0024497B">
        <w:t>ny kind of T</w:t>
      </w:r>
      <w:r>
        <w:t xml:space="preserve">ransfers of </w:t>
      </w:r>
      <w:r w:rsidR="0024497B">
        <w:t>V</w:t>
      </w:r>
      <w:r>
        <w:t>alue</w:t>
      </w:r>
      <w:r w:rsidRPr="00887500">
        <w:t xml:space="preserve"> regarding a donation or a grant between Takeda and a HCO are included in the scope of the disclosure. Th</w:t>
      </w:r>
      <w:r>
        <w:t>e</w:t>
      </w:r>
      <w:r w:rsidRPr="00887500">
        <w:t>s</w:t>
      </w:r>
      <w:r>
        <w:t>e</w:t>
      </w:r>
      <w:r w:rsidRPr="00887500">
        <w:t xml:space="preserve"> </w:t>
      </w:r>
      <w:r w:rsidR="0024497B">
        <w:t>T</w:t>
      </w:r>
      <w:r w:rsidRPr="00887500">
        <w:t>ransfer</w:t>
      </w:r>
      <w:r>
        <w:t xml:space="preserve">s of </w:t>
      </w:r>
      <w:r w:rsidR="0024497B">
        <w:t>V</w:t>
      </w:r>
      <w:r>
        <w:t>alue</w:t>
      </w:r>
      <w:r w:rsidRPr="00887500">
        <w:t xml:space="preserve"> could be</w:t>
      </w:r>
      <w:r>
        <w:t>,</w:t>
      </w:r>
      <w:r w:rsidRPr="00887500">
        <w:t xml:space="preserve"> for instance</w:t>
      </w:r>
      <w:r>
        <w:t>, the following</w:t>
      </w:r>
      <w:r w:rsidRPr="00887500">
        <w:t>:</w:t>
      </w:r>
    </w:p>
    <w:p w14:paraId="3BC5A70E" w14:textId="7A0F4661" w:rsidR="00416834" w:rsidRPr="00BB190B" w:rsidRDefault="001C41E2" w:rsidP="00BB190B">
      <w:pPr>
        <w:pStyle w:val="ListParagraph"/>
        <w:numPr>
          <w:ilvl w:val="0"/>
          <w:numId w:val="27"/>
        </w:numPr>
        <w:jc w:val="both"/>
        <w:rPr>
          <w:lang w:val="de-DE"/>
        </w:rPr>
      </w:pPr>
      <w:r w:rsidRPr="00BB190B">
        <w:rPr>
          <w:lang w:val="de-DE"/>
        </w:rPr>
        <w:t xml:space="preserve">Donations </w:t>
      </w:r>
      <w:r w:rsidRPr="00CB2669">
        <w:rPr>
          <w:lang w:val="en-US"/>
        </w:rPr>
        <w:t>(monetary</w:t>
      </w:r>
      <w:r w:rsidRPr="00BB190B">
        <w:rPr>
          <w:lang w:val="de-DE"/>
        </w:rPr>
        <w:t>);</w:t>
      </w:r>
    </w:p>
    <w:p w14:paraId="55AB5F47" w14:textId="62BE692C" w:rsidR="001C41E2" w:rsidRPr="00BB190B" w:rsidRDefault="001C41E2" w:rsidP="00BB190B">
      <w:pPr>
        <w:pStyle w:val="ListParagraph"/>
        <w:numPr>
          <w:ilvl w:val="0"/>
          <w:numId w:val="27"/>
        </w:numPr>
        <w:jc w:val="both"/>
      </w:pPr>
      <w:r w:rsidRPr="00BB190B">
        <w:t>Charitable contributions (if the organization is classified as HCO in the</w:t>
      </w:r>
      <w:r w:rsidR="0024497B" w:rsidRPr="00BB190B">
        <w:t xml:space="preserve"> corresponding</w:t>
      </w:r>
      <w:r w:rsidRPr="00BB190B">
        <w:t xml:space="preserve"> country);</w:t>
      </w:r>
    </w:p>
    <w:p w14:paraId="5D4CA9AA" w14:textId="63BA44E3" w:rsidR="00016550" w:rsidRPr="00887500" w:rsidRDefault="00016550" w:rsidP="00BB190B">
      <w:pPr>
        <w:pStyle w:val="ListParagraph"/>
        <w:numPr>
          <w:ilvl w:val="0"/>
          <w:numId w:val="27"/>
        </w:numPr>
        <w:spacing w:after="0"/>
        <w:jc w:val="both"/>
      </w:pPr>
      <w:r w:rsidRPr="00BB190B">
        <w:rPr>
          <w:color w:val="000000"/>
          <w:lang w:val="en-US"/>
        </w:rPr>
        <w:t>Medical educational grants or contributions</w:t>
      </w:r>
      <w:r w:rsidRPr="00BB190B">
        <w:rPr>
          <w:color w:val="000000"/>
        </w:rPr>
        <w:t xml:space="preserve"> (e.g. for supporting the education of HCPs): Such grants could be monetary in nature</w:t>
      </w:r>
      <w:r w:rsidR="00C54792" w:rsidRPr="00BB190B">
        <w:rPr>
          <w:color w:val="000000"/>
        </w:rPr>
        <w:t>,</w:t>
      </w:r>
      <w:r w:rsidRPr="00BB190B">
        <w:rPr>
          <w:color w:val="000000"/>
        </w:rPr>
        <w:t xml:space="preserve"> e.g. IISRs, defined as</w:t>
      </w:r>
      <w:r w:rsidRPr="00016550">
        <w:rPr>
          <w:color w:val="000000"/>
        </w:rPr>
        <w:t xml:space="preserve"> unsolicited, independent research wher</w:t>
      </w:r>
      <w:r w:rsidR="00C54792">
        <w:rPr>
          <w:color w:val="000000"/>
        </w:rPr>
        <w:t>e</w:t>
      </w:r>
      <w:r w:rsidRPr="00016550">
        <w:rPr>
          <w:color w:val="000000"/>
        </w:rPr>
        <w:t xml:space="preserve"> the investigator or the institution (academic, private or governmental) serves as the sponsor and Takeda provides support in the form of study drug</w:t>
      </w:r>
      <w:r w:rsidR="00C54792">
        <w:rPr>
          <w:color w:val="000000"/>
        </w:rPr>
        <w:t>s</w:t>
      </w:r>
      <w:r w:rsidRPr="00016550">
        <w:rPr>
          <w:color w:val="000000"/>
        </w:rPr>
        <w:t xml:space="preserve"> and /or </w:t>
      </w:r>
      <w:r w:rsidR="00C54792">
        <w:rPr>
          <w:color w:val="000000"/>
        </w:rPr>
        <w:t xml:space="preserve">by </w:t>
      </w:r>
      <w:r w:rsidRPr="00016550">
        <w:rPr>
          <w:color w:val="000000"/>
        </w:rPr>
        <w:t>funding)</w:t>
      </w:r>
      <w:r>
        <w:rPr>
          <w:color w:val="000000"/>
        </w:rPr>
        <w:t>.</w:t>
      </w:r>
    </w:p>
    <w:p w14:paraId="08F90D2C" w14:textId="77777777" w:rsidR="00016550" w:rsidRPr="00614924" w:rsidRDefault="00016550" w:rsidP="00BB190B">
      <w:pPr>
        <w:pStyle w:val="ListParagraph"/>
        <w:jc w:val="both"/>
        <w:rPr>
          <w:lang w:val="en-US"/>
        </w:rPr>
      </w:pPr>
    </w:p>
    <w:p w14:paraId="6D4A3E3F" w14:textId="56E5ED88" w:rsidR="00C508C7" w:rsidRPr="00724A0F" w:rsidRDefault="00016550" w:rsidP="00BB190B">
      <w:pPr>
        <w:pStyle w:val="Heading3"/>
        <w:numPr>
          <w:ilvl w:val="2"/>
          <w:numId w:val="45"/>
        </w:numPr>
        <w:ind w:left="567" w:hanging="567"/>
        <w:jc w:val="both"/>
        <w:rPr>
          <w:rFonts w:asciiTheme="minorHAnsi" w:hAnsiTheme="minorHAnsi"/>
        </w:rPr>
      </w:pPr>
      <w:bookmarkStart w:id="20" w:name="_Toc454265279"/>
      <w:bookmarkStart w:id="21" w:name="_Toc408833752"/>
      <w:bookmarkEnd w:id="19"/>
      <w:r>
        <w:rPr>
          <w:rFonts w:asciiTheme="minorHAnsi" w:hAnsiTheme="minorHAnsi"/>
        </w:rPr>
        <w:lastRenderedPageBreak/>
        <w:t xml:space="preserve">Contributions to </w:t>
      </w:r>
      <w:r w:rsidR="00C54792">
        <w:rPr>
          <w:rFonts w:asciiTheme="minorHAnsi" w:hAnsiTheme="minorHAnsi"/>
        </w:rPr>
        <w:t>C</w:t>
      </w:r>
      <w:r>
        <w:rPr>
          <w:rFonts w:asciiTheme="minorHAnsi" w:hAnsiTheme="minorHAnsi"/>
        </w:rPr>
        <w:t xml:space="preserve">osts of </w:t>
      </w:r>
      <w:r w:rsidR="00C54792">
        <w:rPr>
          <w:rFonts w:asciiTheme="minorHAnsi" w:hAnsiTheme="minorHAnsi"/>
        </w:rPr>
        <w:t>E</w:t>
      </w:r>
      <w:r>
        <w:rPr>
          <w:rFonts w:asciiTheme="minorHAnsi" w:hAnsiTheme="minorHAnsi"/>
        </w:rPr>
        <w:t>vent</w:t>
      </w:r>
      <w:r w:rsidR="003C7A68">
        <w:rPr>
          <w:rFonts w:asciiTheme="minorHAnsi" w:hAnsiTheme="minorHAnsi"/>
        </w:rPr>
        <w:t>s</w:t>
      </w:r>
      <w:bookmarkEnd w:id="20"/>
    </w:p>
    <w:p w14:paraId="1E7D0CBD" w14:textId="43E88673" w:rsidR="003C7A68" w:rsidRPr="00BB190B" w:rsidRDefault="003C7A68" w:rsidP="00BB190B">
      <w:pPr>
        <w:ind w:left="360"/>
        <w:jc w:val="both"/>
      </w:pPr>
      <w:r>
        <w:t xml:space="preserve">Any kind of </w:t>
      </w:r>
      <w:r w:rsidR="00534203">
        <w:t>T</w:t>
      </w:r>
      <w:r>
        <w:t xml:space="preserve">ransfers of </w:t>
      </w:r>
      <w:r w:rsidR="00534203">
        <w:t>V</w:t>
      </w:r>
      <w:r>
        <w:t xml:space="preserve">alue </w:t>
      </w:r>
      <w:r w:rsidR="00534203">
        <w:t xml:space="preserve">in connection with </w:t>
      </w:r>
      <w:r>
        <w:t>a contribution to costs of events between Takeda and a HCP (directly or ind</w:t>
      </w:r>
      <w:r w:rsidR="00534203">
        <w:t>irectly via a third party) or a</w:t>
      </w:r>
      <w:r>
        <w:t xml:space="preserve"> HCO are included in the scope of the disclosure. </w:t>
      </w:r>
      <w:r w:rsidR="00534203">
        <w:t>Such T</w:t>
      </w:r>
      <w:r>
        <w:t xml:space="preserve">ransfers of </w:t>
      </w:r>
      <w:r w:rsidR="00534203" w:rsidRPr="00BB190B">
        <w:t>V</w:t>
      </w:r>
      <w:r w:rsidRPr="00BB190B">
        <w:t xml:space="preserve">alue </w:t>
      </w:r>
      <w:r w:rsidRPr="00BB190B">
        <w:rPr>
          <w:lang w:val="en-US"/>
        </w:rPr>
        <w:t>(for example those granted in connection with the participation in any</w:t>
      </w:r>
      <w:r w:rsidR="00E23DE4" w:rsidRPr="00BB190B">
        <w:rPr>
          <w:lang w:val="en-US"/>
        </w:rPr>
        <w:t xml:space="preserve"> congresses, conferences, symposia etc. which have a medical and scientific emphasis and which serve as educational event for HCPs)</w:t>
      </w:r>
      <w:r w:rsidR="00534203" w:rsidRPr="00BB190B">
        <w:t xml:space="preserve"> </w:t>
      </w:r>
      <w:r w:rsidRPr="00BB190B">
        <w:t>could be</w:t>
      </w:r>
      <w:r w:rsidR="00E23DE4" w:rsidRPr="00BB190B">
        <w:t>,</w:t>
      </w:r>
      <w:r w:rsidRPr="00BB190B">
        <w:t xml:space="preserve"> for instance</w:t>
      </w:r>
      <w:r w:rsidR="00E23DE4" w:rsidRPr="00BB190B">
        <w:t>, the following</w:t>
      </w:r>
      <w:r w:rsidRPr="00BB190B">
        <w:t xml:space="preserve">: </w:t>
      </w:r>
    </w:p>
    <w:p w14:paraId="7ADA019A" w14:textId="4A7ABB00" w:rsidR="00357B3E" w:rsidRPr="00BB190B" w:rsidRDefault="00E23DE4" w:rsidP="00BB190B">
      <w:pPr>
        <w:pStyle w:val="ListParagraph"/>
        <w:numPr>
          <w:ilvl w:val="0"/>
          <w:numId w:val="47"/>
        </w:numPr>
        <w:jc w:val="both"/>
        <w:rPr>
          <w:lang w:val="en-US"/>
        </w:rPr>
      </w:pPr>
      <w:r w:rsidRPr="00BB190B">
        <w:rPr>
          <w:lang w:val="en-US"/>
        </w:rPr>
        <w:t xml:space="preserve">Travel expenses </w:t>
      </w:r>
      <w:r w:rsidRPr="00BB190B">
        <w:rPr>
          <w:i/>
          <w:lang w:val="en-US"/>
        </w:rPr>
        <w:t>(</w:t>
      </w:r>
      <w:r w:rsidR="002F10D6" w:rsidRPr="00BB190B">
        <w:rPr>
          <w:i/>
          <w:lang w:val="en-US"/>
        </w:rPr>
        <w:t xml:space="preserve">expenses for flight tickets/railway tickets, </w:t>
      </w:r>
      <w:r w:rsidR="007755DC" w:rsidRPr="00BB190B">
        <w:rPr>
          <w:i/>
          <w:lang w:val="en-US"/>
        </w:rPr>
        <w:t>use of private car, taxi use, use of rental cars, parking fees)</w:t>
      </w:r>
      <w:r w:rsidR="007755DC" w:rsidRPr="00BB190B">
        <w:rPr>
          <w:lang w:val="en-US"/>
        </w:rPr>
        <w:t>;</w:t>
      </w:r>
    </w:p>
    <w:p w14:paraId="0597D1EB" w14:textId="576E19F7" w:rsidR="00747FD4" w:rsidRPr="00BB190B" w:rsidRDefault="00723760" w:rsidP="00BB190B">
      <w:pPr>
        <w:pStyle w:val="ListParagraph"/>
        <w:numPr>
          <w:ilvl w:val="0"/>
          <w:numId w:val="47"/>
        </w:numPr>
        <w:jc w:val="both"/>
        <w:rPr>
          <w:i/>
        </w:rPr>
      </w:pPr>
      <w:r w:rsidRPr="00BB190B">
        <w:t>Accommodation</w:t>
      </w:r>
      <w:r w:rsidR="007755DC" w:rsidRPr="00BB190B">
        <w:t xml:space="preserve"> costs;</w:t>
      </w:r>
    </w:p>
    <w:p w14:paraId="1B87C358" w14:textId="0927CA93" w:rsidR="00357B3E" w:rsidRPr="00BB190B" w:rsidRDefault="007755DC" w:rsidP="00BB190B">
      <w:pPr>
        <w:pStyle w:val="ListParagraph"/>
        <w:numPr>
          <w:ilvl w:val="0"/>
          <w:numId w:val="47"/>
        </w:numPr>
        <w:jc w:val="both"/>
        <w:rPr>
          <w:i/>
          <w:color w:val="000000"/>
          <w:lang w:val="en-US"/>
        </w:rPr>
      </w:pPr>
      <w:r w:rsidRPr="00BB190B">
        <w:rPr>
          <w:color w:val="000000"/>
          <w:lang w:val="en-US"/>
        </w:rPr>
        <w:t xml:space="preserve">Registration fees </w:t>
      </w:r>
      <w:r w:rsidRPr="00BB190B">
        <w:rPr>
          <w:i/>
          <w:color w:val="000000"/>
          <w:lang w:val="en-US"/>
        </w:rPr>
        <w:t xml:space="preserve">(fees paid for a HCP or a HCO in order to allow them or their employees to attend </w:t>
      </w:r>
      <w:r w:rsidR="00E4364A" w:rsidRPr="00BB190B">
        <w:rPr>
          <w:i/>
          <w:color w:val="000000"/>
          <w:lang w:val="en-US"/>
        </w:rPr>
        <w:t xml:space="preserve">any </w:t>
      </w:r>
      <w:r w:rsidR="00F7321E" w:rsidRPr="00BB190B">
        <w:rPr>
          <w:i/>
          <w:color w:val="000000"/>
        </w:rPr>
        <w:t>medical/educational events that are not organized by Takeda);</w:t>
      </w:r>
    </w:p>
    <w:p w14:paraId="3F2EFFD8" w14:textId="4496AF84" w:rsidR="00F7321E" w:rsidRPr="00BB190B" w:rsidRDefault="00E4364A" w:rsidP="00BB190B">
      <w:pPr>
        <w:pStyle w:val="ListParagraph"/>
        <w:numPr>
          <w:ilvl w:val="0"/>
          <w:numId w:val="47"/>
        </w:numPr>
        <w:jc w:val="both"/>
        <w:rPr>
          <w:i/>
        </w:rPr>
      </w:pPr>
      <w:r w:rsidRPr="00BB190B">
        <w:t>Sponsorship agreements with a</w:t>
      </w:r>
      <w:r w:rsidR="00F7321E" w:rsidRPr="00BB190B">
        <w:t xml:space="preserve"> HCO or a third party appointed by a HCO to manage and organize an event, for instance </w:t>
      </w:r>
      <w:r w:rsidR="006427BE" w:rsidRPr="00BB190B">
        <w:rPr>
          <w:color w:val="000000"/>
        </w:rPr>
        <w:t>third p</w:t>
      </w:r>
      <w:r w:rsidR="00F7321E" w:rsidRPr="00BB190B">
        <w:rPr>
          <w:color w:val="000000"/>
        </w:rPr>
        <w:t>arty scientific conferences, congresses or exhibits: s</w:t>
      </w:r>
      <w:r w:rsidR="00F7321E" w:rsidRPr="00BB190B">
        <w:rPr>
          <w:i/>
          <w:color w:val="000000"/>
        </w:rPr>
        <w:t xml:space="preserve">ponsorships via </w:t>
      </w:r>
      <w:r w:rsidR="00082E90" w:rsidRPr="00BB190B">
        <w:rPr>
          <w:i/>
          <w:color w:val="000000"/>
        </w:rPr>
        <w:t>m</w:t>
      </w:r>
      <w:r w:rsidR="00F7321E" w:rsidRPr="00BB190B">
        <w:rPr>
          <w:i/>
          <w:color w:val="000000"/>
        </w:rPr>
        <w:t xml:space="preserve">edical </w:t>
      </w:r>
      <w:r w:rsidR="00082E90" w:rsidRPr="00BB190B">
        <w:rPr>
          <w:i/>
          <w:color w:val="000000"/>
        </w:rPr>
        <w:t>s</w:t>
      </w:r>
      <w:r w:rsidR="00F7321E" w:rsidRPr="00BB190B">
        <w:rPr>
          <w:i/>
          <w:color w:val="000000"/>
        </w:rPr>
        <w:t xml:space="preserve">ocieties; </w:t>
      </w:r>
      <w:r w:rsidR="00082E90" w:rsidRPr="00BB190B">
        <w:rPr>
          <w:i/>
          <w:color w:val="000000"/>
        </w:rPr>
        <w:t>n</w:t>
      </w:r>
      <w:r w:rsidR="00F7321E" w:rsidRPr="00BB190B">
        <w:rPr>
          <w:i/>
          <w:color w:val="000000"/>
        </w:rPr>
        <w:t xml:space="preserve">ational </w:t>
      </w:r>
      <w:r w:rsidR="00082E90" w:rsidRPr="00BB190B">
        <w:rPr>
          <w:i/>
          <w:color w:val="000000"/>
        </w:rPr>
        <w:t>i</w:t>
      </w:r>
      <w:r w:rsidR="00F7321E" w:rsidRPr="00BB190B">
        <w:rPr>
          <w:i/>
          <w:color w:val="000000"/>
        </w:rPr>
        <w:t xml:space="preserve">ndustry </w:t>
      </w:r>
      <w:r w:rsidR="00082E90" w:rsidRPr="00BB190B">
        <w:rPr>
          <w:i/>
          <w:color w:val="000000"/>
        </w:rPr>
        <w:t>o</w:t>
      </w:r>
      <w:r w:rsidR="00F7321E" w:rsidRPr="00BB190B">
        <w:rPr>
          <w:i/>
          <w:color w:val="000000"/>
        </w:rPr>
        <w:t xml:space="preserve">rganizations; </w:t>
      </w:r>
      <w:r w:rsidR="00082E90" w:rsidRPr="00BB190B">
        <w:rPr>
          <w:i/>
          <w:color w:val="000000"/>
        </w:rPr>
        <w:t>h</w:t>
      </w:r>
      <w:r w:rsidR="00F7321E" w:rsidRPr="00BB190B">
        <w:rPr>
          <w:i/>
          <w:color w:val="000000"/>
        </w:rPr>
        <w:t xml:space="preserve">ospitals and </w:t>
      </w:r>
      <w:r w:rsidR="00082E90" w:rsidRPr="00BB190B">
        <w:rPr>
          <w:i/>
          <w:color w:val="000000"/>
        </w:rPr>
        <w:t>t</w:t>
      </w:r>
      <w:r w:rsidR="00F7321E" w:rsidRPr="00BB190B">
        <w:rPr>
          <w:i/>
          <w:color w:val="000000"/>
        </w:rPr>
        <w:t xml:space="preserve">eaching </w:t>
      </w:r>
      <w:r w:rsidR="00082E90" w:rsidRPr="00BB190B">
        <w:rPr>
          <w:i/>
          <w:color w:val="000000"/>
        </w:rPr>
        <w:t>i</w:t>
      </w:r>
      <w:r w:rsidR="00F7321E" w:rsidRPr="00BB190B">
        <w:rPr>
          <w:i/>
          <w:color w:val="000000"/>
        </w:rPr>
        <w:t xml:space="preserve">nstitutions; </w:t>
      </w:r>
      <w:r w:rsidR="00082E90" w:rsidRPr="00BB190B">
        <w:rPr>
          <w:i/>
          <w:color w:val="000000"/>
        </w:rPr>
        <w:t>s</w:t>
      </w:r>
      <w:r w:rsidR="00F7321E" w:rsidRPr="00BB190B">
        <w:rPr>
          <w:i/>
          <w:color w:val="000000"/>
        </w:rPr>
        <w:t xml:space="preserve">cientific </w:t>
      </w:r>
      <w:r w:rsidR="00082E90" w:rsidRPr="00BB190B">
        <w:rPr>
          <w:i/>
          <w:color w:val="000000"/>
        </w:rPr>
        <w:t>o</w:t>
      </w:r>
      <w:r w:rsidR="00F7321E" w:rsidRPr="00BB190B">
        <w:rPr>
          <w:i/>
          <w:color w:val="000000"/>
        </w:rPr>
        <w:t xml:space="preserve">rganizations; </w:t>
      </w:r>
      <w:r w:rsidR="00082E90" w:rsidRPr="00BB190B">
        <w:rPr>
          <w:i/>
          <w:color w:val="000000"/>
        </w:rPr>
        <w:t>r</w:t>
      </w:r>
      <w:r w:rsidR="00F7321E" w:rsidRPr="00BB190B">
        <w:rPr>
          <w:i/>
          <w:color w:val="000000"/>
        </w:rPr>
        <w:t xml:space="preserve">egional, </w:t>
      </w:r>
      <w:r w:rsidR="00082E90" w:rsidRPr="00BB190B">
        <w:rPr>
          <w:i/>
          <w:color w:val="000000"/>
        </w:rPr>
        <w:t>n</w:t>
      </w:r>
      <w:r w:rsidR="00F7321E" w:rsidRPr="00BB190B">
        <w:rPr>
          <w:i/>
          <w:color w:val="000000"/>
        </w:rPr>
        <w:t xml:space="preserve">ational, </w:t>
      </w:r>
      <w:r w:rsidR="00082E90" w:rsidRPr="00BB190B">
        <w:rPr>
          <w:i/>
          <w:color w:val="000000"/>
        </w:rPr>
        <w:t>i</w:t>
      </w:r>
      <w:r w:rsidR="00F7321E" w:rsidRPr="00BB190B">
        <w:rPr>
          <w:i/>
          <w:color w:val="000000"/>
        </w:rPr>
        <w:t xml:space="preserve">nternational and </w:t>
      </w:r>
      <w:r w:rsidR="00082E90" w:rsidRPr="00BB190B">
        <w:rPr>
          <w:i/>
          <w:color w:val="000000"/>
        </w:rPr>
        <w:t>g</w:t>
      </w:r>
      <w:r w:rsidR="00F7321E" w:rsidRPr="00BB190B">
        <w:rPr>
          <w:i/>
          <w:color w:val="000000"/>
        </w:rPr>
        <w:t xml:space="preserve">lobal </w:t>
      </w:r>
      <w:r w:rsidR="00082E90" w:rsidRPr="00BB190B">
        <w:rPr>
          <w:i/>
          <w:color w:val="000000"/>
        </w:rPr>
        <w:t>c</w:t>
      </w:r>
      <w:r w:rsidR="00F7321E" w:rsidRPr="00BB190B">
        <w:rPr>
          <w:i/>
          <w:color w:val="000000"/>
        </w:rPr>
        <w:t xml:space="preserve">onferences; </w:t>
      </w:r>
      <w:r w:rsidR="00082E90" w:rsidRPr="00BB190B">
        <w:rPr>
          <w:i/>
          <w:color w:val="000000"/>
        </w:rPr>
        <w:t>l</w:t>
      </w:r>
      <w:r w:rsidR="00F7321E" w:rsidRPr="00BB190B">
        <w:rPr>
          <w:i/>
          <w:color w:val="000000"/>
        </w:rPr>
        <w:t xml:space="preserve">ocal </w:t>
      </w:r>
      <w:r w:rsidR="00082E90" w:rsidRPr="00BB190B">
        <w:rPr>
          <w:i/>
          <w:color w:val="000000"/>
        </w:rPr>
        <w:t>h</w:t>
      </w:r>
      <w:r w:rsidR="00F7321E" w:rsidRPr="00BB190B">
        <w:rPr>
          <w:i/>
          <w:color w:val="000000"/>
        </w:rPr>
        <w:t xml:space="preserve">ospitals; </w:t>
      </w:r>
      <w:r w:rsidR="00082E90" w:rsidRPr="00BB190B">
        <w:rPr>
          <w:i/>
          <w:color w:val="000000"/>
        </w:rPr>
        <w:t>m</w:t>
      </w:r>
      <w:r w:rsidR="00F7321E" w:rsidRPr="00BB190B">
        <w:rPr>
          <w:i/>
          <w:color w:val="000000"/>
        </w:rPr>
        <w:t xml:space="preserve">edical </w:t>
      </w:r>
      <w:r w:rsidR="00723760" w:rsidRPr="00BB190B">
        <w:rPr>
          <w:i/>
          <w:color w:val="000000"/>
        </w:rPr>
        <w:t>centres</w:t>
      </w:r>
      <w:r w:rsidR="00F7321E" w:rsidRPr="00BB190B">
        <w:rPr>
          <w:i/>
          <w:color w:val="000000"/>
        </w:rPr>
        <w:t>.</w:t>
      </w:r>
    </w:p>
    <w:p w14:paraId="79D4E034" w14:textId="77777777" w:rsidR="00082E90" w:rsidRPr="00BB190B" w:rsidRDefault="00082E90" w:rsidP="00BB190B">
      <w:pPr>
        <w:pStyle w:val="ListParagraph"/>
        <w:jc w:val="both"/>
        <w:rPr>
          <w:color w:val="000000"/>
          <w:lang w:val="en-US"/>
        </w:rPr>
      </w:pPr>
    </w:p>
    <w:p w14:paraId="3E0C8B81" w14:textId="631F6B0D" w:rsidR="009B7227" w:rsidRPr="00614924" w:rsidRDefault="00F7321E" w:rsidP="00BB190B">
      <w:pPr>
        <w:pStyle w:val="ListParagraph"/>
        <w:jc w:val="both"/>
        <w:rPr>
          <w:color w:val="000000"/>
          <w:lang w:val="en-US"/>
        </w:rPr>
      </w:pPr>
      <w:r w:rsidRPr="00BB190B">
        <w:rPr>
          <w:color w:val="000000"/>
          <w:lang w:val="en-US"/>
        </w:rPr>
        <w:t xml:space="preserve">In case a scientific event is organized by any event planning agency and the </w:t>
      </w:r>
      <w:r w:rsidR="00A16874" w:rsidRPr="00BB190B">
        <w:rPr>
          <w:color w:val="000000"/>
          <w:lang w:val="en-US"/>
        </w:rPr>
        <w:t>non-cash grant is made to this agency – with this respective event having a clear</w:t>
      </w:r>
      <w:r w:rsidR="00852797" w:rsidRPr="00BB190B">
        <w:rPr>
          <w:color w:val="000000"/>
          <w:lang w:val="en-US"/>
        </w:rPr>
        <w:t>ly recognizable</w:t>
      </w:r>
      <w:r w:rsidR="00A16874" w:rsidRPr="00BB190B">
        <w:rPr>
          <w:color w:val="000000"/>
          <w:lang w:val="en-US"/>
        </w:rPr>
        <w:t xml:space="preserve"> reference to a HCO - then the disclosure will be made by mentioning the event planning agency involved, including a corresponding declaration</w:t>
      </w:r>
      <w:r w:rsidR="00EA059B" w:rsidRPr="00BB190B">
        <w:rPr>
          <w:color w:val="000000"/>
          <w:lang w:val="en-US"/>
        </w:rPr>
        <w:t xml:space="preserve"> incorporated in this Methodological Note as to the purpose of use of that Transfer of Value</w:t>
      </w:r>
      <w:r w:rsidR="00852797" w:rsidRPr="00BB190B">
        <w:rPr>
          <w:color w:val="000000"/>
          <w:lang w:val="en-US"/>
        </w:rPr>
        <w:t xml:space="preserve">. This declaration can be found </w:t>
      </w:r>
      <w:r w:rsidR="00614924" w:rsidRPr="00BB190B">
        <w:rPr>
          <w:color w:val="000000"/>
          <w:lang w:val="en-US"/>
        </w:rPr>
        <w:t xml:space="preserve">in the </w:t>
      </w:r>
      <w:r w:rsidR="007F0AD0">
        <w:rPr>
          <w:color w:val="000000"/>
          <w:lang w:val="en-US"/>
        </w:rPr>
        <w:t>“List of f</w:t>
      </w:r>
      <w:r w:rsidR="0085716A" w:rsidRPr="00BB190B">
        <w:rPr>
          <w:color w:val="000000"/>
          <w:lang w:val="en-US"/>
        </w:rPr>
        <w:t>urther supplements to the Methodological Notes</w:t>
      </w:r>
      <w:r w:rsidR="007F0AD0">
        <w:rPr>
          <w:color w:val="000000"/>
          <w:lang w:val="en-US"/>
        </w:rPr>
        <w:t xml:space="preserve"> – Healthcare Organizations</w:t>
      </w:r>
      <w:r w:rsidR="0085716A" w:rsidRPr="00BB190B">
        <w:rPr>
          <w:color w:val="000000"/>
          <w:lang w:val="en-US"/>
        </w:rPr>
        <w:t>” linked on the webpage</w:t>
      </w:r>
      <w:r w:rsidR="003E299C" w:rsidRPr="00BB190B">
        <w:rPr>
          <w:color w:val="000000"/>
          <w:lang w:val="en-US"/>
        </w:rPr>
        <w:t>.</w:t>
      </w:r>
      <w:r w:rsidR="003E299C" w:rsidRPr="00614924">
        <w:rPr>
          <w:color w:val="000000"/>
          <w:lang w:val="en-US"/>
        </w:rPr>
        <w:t xml:space="preserve"> </w:t>
      </w:r>
    </w:p>
    <w:p w14:paraId="4A022993" w14:textId="3D2A3D2B" w:rsidR="005B20CB" w:rsidRPr="00614924" w:rsidRDefault="00EA059B" w:rsidP="00BB190B">
      <w:pPr>
        <w:jc w:val="both"/>
        <w:rPr>
          <w:color w:val="000000"/>
          <w:lang w:val="en-US"/>
        </w:rPr>
      </w:pPr>
      <w:r>
        <w:rPr>
          <w:color w:val="000000"/>
        </w:rPr>
        <w:t>When</w:t>
      </w:r>
      <w:r w:rsidR="00374A83">
        <w:rPr>
          <w:color w:val="000000"/>
        </w:rPr>
        <w:t>ever a</w:t>
      </w:r>
      <w:r>
        <w:rPr>
          <w:color w:val="000000"/>
        </w:rPr>
        <w:t xml:space="preserve"> HCP </w:t>
      </w:r>
      <w:r w:rsidR="00C168B9">
        <w:rPr>
          <w:color w:val="000000"/>
        </w:rPr>
        <w:t>who is</w:t>
      </w:r>
      <w:r>
        <w:rPr>
          <w:color w:val="000000"/>
        </w:rPr>
        <w:t xml:space="preserve"> sponsored </w:t>
      </w:r>
      <w:r w:rsidR="00C168B9">
        <w:rPr>
          <w:color w:val="000000"/>
        </w:rPr>
        <w:t xml:space="preserve">in order </w:t>
      </w:r>
      <w:r>
        <w:rPr>
          <w:color w:val="000000"/>
        </w:rPr>
        <w:t xml:space="preserve">to </w:t>
      </w:r>
      <w:r w:rsidR="00374A83">
        <w:rPr>
          <w:color w:val="000000"/>
        </w:rPr>
        <w:t xml:space="preserve">attend </w:t>
      </w:r>
      <w:r>
        <w:rPr>
          <w:color w:val="000000"/>
        </w:rPr>
        <w:t>a third party meeting had to cancel his/her participation, this information as well as any information on any cancellation fees incurred will not be included in our report.</w:t>
      </w:r>
      <w:r w:rsidR="00D624F5" w:rsidRPr="00614924">
        <w:rPr>
          <w:color w:val="000000"/>
          <w:lang w:val="en-US"/>
        </w:rPr>
        <w:t xml:space="preserve"> </w:t>
      </w:r>
    </w:p>
    <w:p w14:paraId="2D29EEF4" w14:textId="35F05A75" w:rsidR="00162BB5" w:rsidRPr="00BB190B" w:rsidRDefault="00162BB5" w:rsidP="00BB190B">
      <w:pPr>
        <w:jc w:val="both"/>
        <w:rPr>
          <w:i/>
          <w:color w:val="000000"/>
          <w:lang w:val="en-US"/>
        </w:rPr>
      </w:pPr>
      <w:r w:rsidRPr="00BB190B">
        <w:rPr>
          <w:color w:val="000000"/>
        </w:rPr>
        <w:t xml:space="preserve">Examples of activities that </w:t>
      </w:r>
      <w:r w:rsidR="00C168B9" w:rsidRPr="00BB190B">
        <w:rPr>
          <w:color w:val="000000"/>
        </w:rPr>
        <w:t>may</w:t>
      </w:r>
      <w:r w:rsidRPr="00BB190B">
        <w:rPr>
          <w:color w:val="000000"/>
        </w:rPr>
        <w:t xml:space="preserve"> be covered in the Takeda disclosure report under the category of “Sponsor</w:t>
      </w:r>
      <w:r w:rsidR="00C168B9" w:rsidRPr="00BB190B">
        <w:rPr>
          <w:color w:val="000000"/>
        </w:rPr>
        <w:t>ship Agreement</w:t>
      </w:r>
      <w:r w:rsidRPr="00BB190B">
        <w:rPr>
          <w:color w:val="000000"/>
        </w:rPr>
        <w:t xml:space="preserve">” may be the following: </w:t>
      </w:r>
      <w:r w:rsidR="00D37ED0" w:rsidRPr="00BB190B">
        <w:rPr>
          <w:i/>
          <w:color w:val="000000"/>
          <w:lang w:val="en-US"/>
        </w:rPr>
        <w:t>r</w:t>
      </w:r>
      <w:r w:rsidRPr="00BB190B">
        <w:rPr>
          <w:i/>
          <w:color w:val="000000"/>
          <w:lang w:val="en-US"/>
        </w:rPr>
        <w:t xml:space="preserve">ental of booth, </w:t>
      </w:r>
      <w:r w:rsidR="00D37ED0" w:rsidRPr="00BB190B">
        <w:rPr>
          <w:i/>
          <w:color w:val="000000"/>
          <w:lang w:val="en-US"/>
        </w:rPr>
        <w:t xml:space="preserve">rental of </w:t>
      </w:r>
      <w:r w:rsidRPr="00BB190B">
        <w:rPr>
          <w:i/>
          <w:color w:val="000000"/>
          <w:lang w:val="en-US"/>
        </w:rPr>
        <w:t>advertisement space (electronic, paper, etc.),</w:t>
      </w:r>
      <w:r w:rsidR="00441145" w:rsidRPr="00BB190B">
        <w:rPr>
          <w:i/>
          <w:color w:val="000000"/>
          <w:lang w:val="en-US"/>
        </w:rPr>
        <w:t xml:space="preserve"> participation in</w:t>
      </w:r>
      <w:r w:rsidRPr="00BB190B">
        <w:rPr>
          <w:i/>
          <w:color w:val="000000"/>
          <w:lang w:val="en-US"/>
        </w:rPr>
        <w:t xml:space="preserve"> satellite symposia at a scientific congress, scientific courses provided by a HCO, opportunities to promote our products</w:t>
      </w:r>
      <w:r w:rsidR="00D37ED0" w:rsidRPr="00BB190B">
        <w:rPr>
          <w:i/>
          <w:color w:val="000000"/>
          <w:lang w:val="en-US"/>
        </w:rPr>
        <w:t>.</w:t>
      </w:r>
    </w:p>
    <w:p w14:paraId="6CCAAA53" w14:textId="77777777" w:rsidR="00162BB5" w:rsidRPr="00614924" w:rsidRDefault="00162BB5" w:rsidP="00BB190B">
      <w:pPr>
        <w:jc w:val="both"/>
        <w:rPr>
          <w:i/>
          <w:color w:val="000000"/>
          <w:lang w:val="en-US"/>
        </w:rPr>
      </w:pPr>
    </w:p>
    <w:p w14:paraId="65F3A9B1" w14:textId="67CB50FA" w:rsidR="00067B68" w:rsidRPr="00724A0F" w:rsidRDefault="00D37ED0" w:rsidP="00BB190B">
      <w:pPr>
        <w:pStyle w:val="Heading3"/>
        <w:numPr>
          <w:ilvl w:val="2"/>
          <w:numId w:val="45"/>
        </w:numPr>
        <w:ind w:left="567" w:hanging="567"/>
        <w:jc w:val="both"/>
        <w:rPr>
          <w:rFonts w:asciiTheme="minorHAnsi" w:hAnsiTheme="minorHAnsi"/>
        </w:rPr>
      </w:pPr>
      <w:bookmarkStart w:id="22" w:name="_Toc454265280"/>
      <w:bookmarkStart w:id="23" w:name="_Toc408833753"/>
      <w:bookmarkEnd w:id="21"/>
      <w:r>
        <w:rPr>
          <w:rFonts w:asciiTheme="minorHAnsi" w:hAnsiTheme="minorHAnsi"/>
        </w:rPr>
        <w:t>Fees for Services and Consultancy</w:t>
      </w:r>
      <w:bookmarkEnd w:id="22"/>
    </w:p>
    <w:p w14:paraId="22543455" w14:textId="27BDD400" w:rsidR="004415B6" w:rsidRDefault="004415B6" w:rsidP="00BB190B">
      <w:pPr>
        <w:jc w:val="both"/>
      </w:pPr>
      <w:r>
        <w:t xml:space="preserve">Any </w:t>
      </w:r>
      <w:r w:rsidR="00A846E2">
        <w:t>T</w:t>
      </w:r>
      <w:r>
        <w:t xml:space="preserve">ransfers of </w:t>
      </w:r>
      <w:r w:rsidR="00A846E2">
        <w:t>V</w:t>
      </w:r>
      <w:r>
        <w:t xml:space="preserve">alue </w:t>
      </w:r>
      <w:r w:rsidR="00A846E2">
        <w:t xml:space="preserve">transactions in connection with </w:t>
      </w:r>
      <w:r>
        <w:t xml:space="preserve">fees for services and consultancy between Takeda and a HCP or a HCO are included in the scope of the disclosure. These </w:t>
      </w:r>
      <w:r w:rsidR="00A846E2">
        <w:t>T</w:t>
      </w:r>
      <w:r>
        <w:t xml:space="preserve">ransfers of </w:t>
      </w:r>
      <w:r w:rsidR="00A846E2">
        <w:t>V</w:t>
      </w:r>
      <w:r>
        <w:t>alue concern</w:t>
      </w:r>
      <w:r w:rsidR="004A4F02">
        <w:t>,</w:t>
      </w:r>
      <w:r>
        <w:t xml:space="preserve"> for instance</w:t>
      </w:r>
      <w:r w:rsidR="004A4F02">
        <w:t>,</w:t>
      </w:r>
      <w:r>
        <w:t xml:space="preserve"> a</w:t>
      </w:r>
      <w:r w:rsidR="004A4F02">
        <w:t>ny</w:t>
      </w:r>
      <w:r>
        <w:t xml:space="preserve"> meeting</w:t>
      </w:r>
      <w:r w:rsidR="004A4F02">
        <w:t>s</w:t>
      </w:r>
      <w:r>
        <w:t xml:space="preserve"> or event</w:t>
      </w:r>
      <w:r w:rsidR="004A4F02">
        <w:t>s</w:t>
      </w:r>
      <w:r>
        <w:t xml:space="preserve"> (promotional or non-promotional</w:t>
      </w:r>
      <w:r w:rsidR="004A4F02">
        <w:t xml:space="preserve"> in nature</w:t>
      </w:r>
      <w:r>
        <w:t xml:space="preserve">) where the </w:t>
      </w:r>
      <w:r w:rsidR="004A4F02">
        <w:t xml:space="preserve">corresponding </w:t>
      </w:r>
      <w:r>
        <w:t xml:space="preserve">HCP or the HCP working for an HCO </w:t>
      </w:r>
      <w:r w:rsidR="004A4F02">
        <w:t>acts in the capacity of</w:t>
      </w:r>
      <w:r>
        <w:t xml:space="preserve"> </w:t>
      </w:r>
      <w:r w:rsidR="004A4F02">
        <w:t xml:space="preserve"> </w:t>
      </w:r>
      <w:r w:rsidR="00A846E2">
        <w:t xml:space="preserve">a </w:t>
      </w:r>
      <w:r>
        <w:t>speaker, trainer</w:t>
      </w:r>
      <w:r w:rsidR="004A4F02">
        <w:t xml:space="preserve"> or</w:t>
      </w:r>
      <w:r>
        <w:t xml:space="preserve"> advisor, and </w:t>
      </w:r>
      <w:r w:rsidR="00A846E2">
        <w:t xml:space="preserve">such Transfers of Value </w:t>
      </w:r>
      <w:r>
        <w:t xml:space="preserve">could </w:t>
      </w:r>
      <w:r w:rsidR="004A4F02">
        <w:t>be the following</w:t>
      </w:r>
      <w:r>
        <w:t xml:space="preserve">: </w:t>
      </w:r>
    </w:p>
    <w:p w14:paraId="0E317126" w14:textId="13F46E95" w:rsidR="00302409" w:rsidRPr="00614924" w:rsidRDefault="00302409" w:rsidP="00BB190B">
      <w:pPr>
        <w:pStyle w:val="ListParagraph"/>
        <w:widowControl w:val="0"/>
        <w:numPr>
          <w:ilvl w:val="0"/>
          <w:numId w:val="40"/>
        </w:numPr>
        <w:spacing w:after="0"/>
        <w:ind w:left="574" w:hanging="284"/>
        <w:contextualSpacing w:val="0"/>
        <w:jc w:val="both"/>
        <w:rPr>
          <w:lang w:val="en-US"/>
        </w:rPr>
      </w:pPr>
      <w:r w:rsidRPr="00614924">
        <w:rPr>
          <w:lang w:val="en-US"/>
        </w:rPr>
        <w:t xml:space="preserve">Fees (fees for </w:t>
      </w:r>
      <w:r w:rsidR="00A846E2" w:rsidRPr="00614924">
        <w:rPr>
          <w:lang w:val="en-US"/>
        </w:rPr>
        <w:t xml:space="preserve">any </w:t>
      </w:r>
      <w:r w:rsidRPr="00614924">
        <w:rPr>
          <w:lang w:val="en-US"/>
        </w:rPr>
        <w:t>services such as preparation time, rehearsal time, travel time and time required for the activity itself</w:t>
      </w:r>
      <w:r w:rsidR="00A846E2" w:rsidRPr="00614924">
        <w:rPr>
          <w:lang w:val="en-US"/>
        </w:rPr>
        <w:t>)</w:t>
      </w:r>
      <w:r w:rsidRPr="00614924">
        <w:rPr>
          <w:lang w:val="en-US"/>
        </w:rPr>
        <w:t>;</w:t>
      </w:r>
    </w:p>
    <w:p w14:paraId="3008CDAF" w14:textId="75CF4D22" w:rsidR="006813F4" w:rsidRPr="00614924" w:rsidRDefault="00A846E2" w:rsidP="00BB190B">
      <w:pPr>
        <w:pStyle w:val="ListParagraph"/>
        <w:widowControl w:val="0"/>
        <w:numPr>
          <w:ilvl w:val="0"/>
          <w:numId w:val="40"/>
        </w:numPr>
        <w:spacing w:after="0"/>
        <w:ind w:left="639" w:hanging="284"/>
        <w:contextualSpacing w:val="0"/>
        <w:jc w:val="both"/>
        <w:rPr>
          <w:lang w:val="en-US"/>
        </w:rPr>
      </w:pPr>
      <w:r w:rsidRPr="00614924">
        <w:rPr>
          <w:lang w:val="en-US"/>
        </w:rPr>
        <w:t>Any e</w:t>
      </w:r>
      <w:r w:rsidR="00302409" w:rsidRPr="00614924">
        <w:rPr>
          <w:lang w:val="en-US"/>
        </w:rPr>
        <w:t xml:space="preserve">xpenses related to consultancy services (e.g. travel and </w:t>
      </w:r>
      <w:r w:rsidR="00723760" w:rsidRPr="00614924">
        <w:rPr>
          <w:lang w:val="en-US"/>
        </w:rPr>
        <w:t>accommodation</w:t>
      </w:r>
      <w:r w:rsidR="00302409" w:rsidRPr="00614924">
        <w:rPr>
          <w:lang w:val="en-US"/>
        </w:rPr>
        <w:t xml:space="preserve"> costs).</w:t>
      </w:r>
    </w:p>
    <w:p w14:paraId="17D2DD4C" w14:textId="77777777" w:rsidR="00837AED" w:rsidRPr="00614924" w:rsidRDefault="00837AED" w:rsidP="00BB190B">
      <w:pPr>
        <w:pStyle w:val="ListParagraph"/>
        <w:widowControl w:val="0"/>
        <w:spacing w:after="0"/>
        <w:ind w:left="639"/>
        <w:contextualSpacing w:val="0"/>
        <w:jc w:val="both"/>
        <w:rPr>
          <w:lang w:val="en-US"/>
        </w:rPr>
      </w:pPr>
    </w:p>
    <w:p w14:paraId="436BD1E9" w14:textId="1A94ADE6" w:rsidR="00DE235E" w:rsidRPr="00887500" w:rsidRDefault="00DE235E" w:rsidP="00BB190B">
      <w:pPr>
        <w:jc w:val="both"/>
        <w:rPr>
          <w:color w:val="000000"/>
        </w:rPr>
      </w:pPr>
      <w:r w:rsidRPr="00887500">
        <w:rPr>
          <w:color w:val="000000"/>
        </w:rPr>
        <w:t xml:space="preserve">Examples of fees that could be covered under </w:t>
      </w:r>
      <w:r w:rsidR="001A0BF5">
        <w:rPr>
          <w:color w:val="000000"/>
        </w:rPr>
        <w:t xml:space="preserve">the category of </w:t>
      </w:r>
      <w:r w:rsidRPr="00887500">
        <w:rPr>
          <w:color w:val="000000"/>
        </w:rPr>
        <w:t>“Fee</w:t>
      </w:r>
      <w:r>
        <w:rPr>
          <w:color w:val="000000"/>
        </w:rPr>
        <w:t>s</w:t>
      </w:r>
      <w:r w:rsidRPr="00887500">
        <w:rPr>
          <w:color w:val="000000"/>
        </w:rPr>
        <w:t xml:space="preserve"> for Services &amp; Consultancy (HCPs and HCOs)“</w:t>
      </w:r>
      <w:r>
        <w:rPr>
          <w:color w:val="000000"/>
        </w:rPr>
        <w:t xml:space="preserve"> in the Takeda disclosure report</w:t>
      </w:r>
      <w:r w:rsidR="001A0BF5">
        <w:rPr>
          <w:color w:val="000000"/>
        </w:rPr>
        <w:t xml:space="preserve"> may be the following</w:t>
      </w:r>
      <w:r w:rsidRPr="00887500">
        <w:rPr>
          <w:color w:val="000000"/>
        </w:rPr>
        <w:t>:</w:t>
      </w:r>
      <w:r>
        <w:rPr>
          <w:color w:val="000000"/>
        </w:rPr>
        <w:t xml:space="preserve"> s</w:t>
      </w:r>
      <w:r w:rsidRPr="00887500">
        <w:rPr>
          <w:i/>
          <w:color w:val="000000"/>
        </w:rPr>
        <w:t xml:space="preserve">peaker fees for </w:t>
      </w:r>
      <w:r w:rsidR="001A0BF5">
        <w:rPr>
          <w:i/>
          <w:color w:val="000000"/>
        </w:rPr>
        <w:t>speaker p</w:t>
      </w:r>
      <w:r w:rsidR="00D96CDD">
        <w:rPr>
          <w:i/>
          <w:color w:val="000000"/>
        </w:rPr>
        <w:t>rograms and r</w:t>
      </w:r>
      <w:r w:rsidRPr="00887500">
        <w:rPr>
          <w:i/>
          <w:color w:val="000000"/>
        </w:rPr>
        <w:t xml:space="preserve">oundtables; </w:t>
      </w:r>
      <w:r>
        <w:rPr>
          <w:i/>
          <w:color w:val="000000"/>
        </w:rPr>
        <w:t>a</w:t>
      </w:r>
      <w:r w:rsidRPr="00887500">
        <w:rPr>
          <w:i/>
          <w:color w:val="000000"/>
        </w:rPr>
        <w:t>d</w:t>
      </w:r>
      <w:r>
        <w:rPr>
          <w:i/>
          <w:color w:val="000000"/>
        </w:rPr>
        <w:t>-h</w:t>
      </w:r>
      <w:r w:rsidRPr="00887500">
        <w:rPr>
          <w:i/>
          <w:color w:val="000000"/>
        </w:rPr>
        <w:t xml:space="preserve">oc </w:t>
      </w:r>
      <w:r>
        <w:rPr>
          <w:i/>
          <w:color w:val="000000"/>
        </w:rPr>
        <w:t>c</w:t>
      </w:r>
      <w:r w:rsidRPr="00887500">
        <w:rPr>
          <w:i/>
          <w:color w:val="000000"/>
        </w:rPr>
        <w:t>onsulting/</w:t>
      </w:r>
      <w:r>
        <w:rPr>
          <w:i/>
          <w:color w:val="000000"/>
        </w:rPr>
        <w:t>a</w:t>
      </w:r>
      <w:r w:rsidRPr="00887500">
        <w:rPr>
          <w:i/>
          <w:color w:val="000000"/>
        </w:rPr>
        <w:t xml:space="preserve">dvising </w:t>
      </w:r>
      <w:r>
        <w:rPr>
          <w:i/>
          <w:color w:val="000000"/>
        </w:rPr>
        <w:t>a</w:t>
      </w:r>
      <w:r w:rsidRPr="00887500">
        <w:rPr>
          <w:i/>
          <w:color w:val="000000"/>
        </w:rPr>
        <w:t xml:space="preserve">rrangements; </w:t>
      </w:r>
      <w:r>
        <w:rPr>
          <w:i/>
          <w:color w:val="000000"/>
        </w:rPr>
        <w:t>f</w:t>
      </w:r>
      <w:r w:rsidRPr="00887500">
        <w:rPr>
          <w:i/>
          <w:color w:val="000000"/>
        </w:rPr>
        <w:t xml:space="preserve">aculty for </w:t>
      </w:r>
      <w:r>
        <w:rPr>
          <w:i/>
          <w:color w:val="000000"/>
        </w:rPr>
        <w:t>s</w:t>
      </w:r>
      <w:r w:rsidRPr="00887500">
        <w:rPr>
          <w:i/>
          <w:color w:val="000000"/>
        </w:rPr>
        <w:t xml:space="preserve">peaker </w:t>
      </w:r>
      <w:r>
        <w:rPr>
          <w:i/>
          <w:color w:val="000000"/>
        </w:rPr>
        <w:t>t</w:t>
      </w:r>
      <w:r w:rsidRPr="00887500">
        <w:rPr>
          <w:i/>
          <w:color w:val="000000"/>
        </w:rPr>
        <w:t xml:space="preserve">raining </w:t>
      </w:r>
      <w:r>
        <w:rPr>
          <w:i/>
          <w:color w:val="000000"/>
        </w:rPr>
        <w:t>p</w:t>
      </w:r>
      <w:r w:rsidRPr="00887500">
        <w:rPr>
          <w:i/>
          <w:color w:val="000000"/>
        </w:rPr>
        <w:t xml:space="preserve">rograms or training of Takeda employees or external parties; </w:t>
      </w:r>
      <w:r>
        <w:rPr>
          <w:i/>
          <w:color w:val="000000"/>
        </w:rPr>
        <w:t>f</w:t>
      </w:r>
      <w:r w:rsidRPr="00887500">
        <w:rPr>
          <w:i/>
          <w:color w:val="000000"/>
        </w:rPr>
        <w:t xml:space="preserve">aculty for </w:t>
      </w:r>
      <w:r>
        <w:rPr>
          <w:i/>
          <w:color w:val="000000"/>
        </w:rPr>
        <w:t>a</w:t>
      </w:r>
      <w:r w:rsidRPr="00887500">
        <w:rPr>
          <w:i/>
          <w:color w:val="000000"/>
        </w:rPr>
        <w:t xml:space="preserve">dvisory </w:t>
      </w:r>
      <w:r>
        <w:rPr>
          <w:i/>
          <w:color w:val="000000"/>
        </w:rPr>
        <w:t>b</w:t>
      </w:r>
      <w:r w:rsidRPr="00887500">
        <w:rPr>
          <w:i/>
          <w:color w:val="000000"/>
        </w:rPr>
        <w:t xml:space="preserve">oard </w:t>
      </w:r>
      <w:r>
        <w:rPr>
          <w:i/>
          <w:color w:val="000000"/>
        </w:rPr>
        <w:t>m</w:t>
      </w:r>
      <w:r w:rsidRPr="00887500">
        <w:rPr>
          <w:i/>
          <w:color w:val="000000"/>
        </w:rPr>
        <w:t xml:space="preserve">eetings; </w:t>
      </w:r>
      <w:r>
        <w:rPr>
          <w:i/>
          <w:color w:val="000000"/>
        </w:rPr>
        <w:t>s</w:t>
      </w:r>
      <w:r w:rsidRPr="00887500">
        <w:rPr>
          <w:i/>
          <w:color w:val="000000"/>
        </w:rPr>
        <w:t xml:space="preserve">tudy participant for </w:t>
      </w:r>
      <w:r>
        <w:rPr>
          <w:i/>
          <w:color w:val="000000"/>
        </w:rPr>
        <w:t>m</w:t>
      </w:r>
      <w:r w:rsidRPr="00887500">
        <w:rPr>
          <w:i/>
          <w:color w:val="000000"/>
        </w:rPr>
        <w:t xml:space="preserve">arket </w:t>
      </w:r>
      <w:r>
        <w:rPr>
          <w:i/>
          <w:color w:val="000000"/>
        </w:rPr>
        <w:lastRenderedPageBreak/>
        <w:t>r</w:t>
      </w:r>
      <w:r w:rsidRPr="00887500">
        <w:rPr>
          <w:i/>
          <w:color w:val="000000"/>
        </w:rPr>
        <w:t xml:space="preserve">esearch (only if no double-blinded research); </w:t>
      </w:r>
      <w:r>
        <w:rPr>
          <w:i/>
          <w:color w:val="000000"/>
        </w:rPr>
        <w:t>m</w:t>
      </w:r>
      <w:r w:rsidRPr="00887500">
        <w:rPr>
          <w:i/>
          <w:color w:val="000000"/>
        </w:rPr>
        <w:t xml:space="preserve">edical writing; </w:t>
      </w:r>
      <w:r>
        <w:rPr>
          <w:i/>
          <w:color w:val="000000"/>
        </w:rPr>
        <w:t>d</w:t>
      </w:r>
      <w:r w:rsidRPr="00887500">
        <w:rPr>
          <w:i/>
          <w:color w:val="000000"/>
        </w:rPr>
        <w:t xml:space="preserve">ata analysis; </w:t>
      </w:r>
      <w:r>
        <w:rPr>
          <w:i/>
          <w:color w:val="000000"/>
        </w:rPr>
        <w:t>d</w:t>
      </w:r>
      <w:r w:rsidRPr="00887500">
        <w:rPr>
          <w:i/>
          <w:color w:val="000000"/>
        </w:rPr>
        <w:t xml:space="preserve">evelopment of educational </w:t>
      </w:r>
      <w:r w:rsidRPr="00BB190B">
        <w:rPr>
          <w:i/>
          <w:color w:val="000000"/>
        </w:rPr>
        <w:t xml:space="preserve">material; market survey (only if not double-blinded survey); consultancy services (e.g. protocol-related advice, market access, </w:t>
      </w:r>
      <w:r w:rsidRPr="00BB190B">
        <w:rPr>
          <w:i/>
          <w:color w:val="000000"/>
          <w:lang w:val="en-US"/>
        </w:rPr>
        <w:t>indemnity payments)</w:t>
      </w:r>
      <w:r w:rsidR="00C50744" w:rsidRPr="00BB190B">
        <w:rPr>
          <w:i/>
          <w:color w:val="000000"/>
          <w:lang w:val="en-US"/>
        </w:rPr>
        <w:t>.</w:t>
      </w:r>
    </w:p>
    <w:p w14:paraId="6BB3713B" w14:textId="77777777" w:rsidR="00995A03" w:rsidRPr="00614924" w:rsidRDefault="00995A03" w:rsidP="00BB190B">
      <w:pPr>
        <w:ind w:left="426"/>
        <w:jc w:val="both"/>
        <w:rPr>
          <w:i/>
          <w:color w:val="000000"/>
          <w:lang w:val="en-US"/>
        </w:rPr>
      </w:pPr>
    </w:p>
    <w:p w14:paraId="0FE22FC2" w14:textId="320E44CF" w:rsidR="001E1973" w:rsidRPr="002068EA" w:rsidRDefault="00DE235E" w:rsidP="00BB190B">
      <w:pPr>
        <w:pStyle w:val="Heading3"/>
        <w:numPr>
          <w:ilvl w:val="2"/>
          <w:numId w:val="45"/>
        </w:numPr>
        <w:ind w:left="567" w:hanging="567"/>
        <w:jc w:val="both"/>
        <w:rPr>
          <w:rFonts w:asciiTheme="minorHAnsi" w:hAnsiTheme="minorHAnsi"/>
          <w:lang w:val="de-DE"/>
        </w:rPr>
      </w:pPr>
      <w:bookmarkStart w:id="24" w:name="_Toc454265281"/>
      <w:bookmarkEnd w:id="23"/>
      <w:r>
        <w:rPr>
          <w:rFonts w:asciiTheme="minorHAnsi" w:hAnsiTheme="minorHAnsi"/>
          <w:lang w:val="de-DE"/>
        </w:rPr>
        <w:t>Research &amp; Development</w:t>
      </w:r>
      <w:bookmarkEnd w:id="24"/>
    </w:p>
    <w:p w14:paraId="13FC7E38" w14:textId="2C26DC49" w:rsidR="0020090E" w:rsidRPr="006D198A" w:rsidRDefault="0020090E" w:rsidP="00BB190B">
      <w:pPr>
        <w:pStyle w:val="ListParagraph"/>
        <w:ind w:left="0" w:right="92"/>
        <w:jc w:val="both"/>
      </w:pPr>
      <w:r>
        <w:t xml:space="preserve">Any </w:t>
      </w:r>
      <w:r w:rsidR="000C04B8">
        <w:t>T</w:t>
      </w:r>
      <w:r>
        <w:t xml:space="preserve">ransfers of </w:t>
      </w:r>
      <w:r w:rsidR="000C04B8">
        <w:t>V</w:t>
      </w:r>
      <w:r>
        <w:t xml:space="preserve">alue related to a Research and Development (R&amp;D) activity are included in the scope of the disclosure. These </w:t>
      </w:r>
      <w:r w:rsidR="00CD2A2D">
        <w:t>T</w:t>
      </w:r>
      <w:r>
        <w:t xml:space="preserve">ransfers of </w:t>
      </w:r>
      <w:r w:rsidR="00CD2A2D">
        <w:t>V</w:t>
      </w:r>
      <w:r>
        <w:t xml:space="preserve">alue </w:t>
      </w:r>
      <w:r w:rsidRPr="007766AA">
        <w:t xml:space="preserve">include </w:t>
      </w:r>
      <w:r>
        <w:t xml:space="preserve">any </w:t>
      </w:r>
      <w:r w:rsidR="00CD2A2D">
        <w:t>T</w:t>
      </w:r>
      <w:r>
        <w:t xml:space="preserve">ransfers of </w:t>
      </w:r>
      <w:r w:rsidR="00CD2A2D">
        <w:t>V</w:t>
      </w:r>
      <w:r>
        <w:t>alue</w:t>
      </w:r>
      <w:r w:rsidRPr="007766AA">
        <w:t xml:space="preserve"> </w:t>
      </w:r>
      <w:r w:rsidR="00CD2A2D">
        <w:t xml:space="preserve">made </w:t>
      </w:r>
      <w:r w:rsidRPr="007766AA">
        <w:t xml:space="preserve">to </w:t>
      </w:r>
      <w:r>
        <w:t xml:space="preserve">HCPs </w:t>
      </w:r>
      <w:r w:rsidRPr="007766AA">
        <w:t xml:space="preserve">or </w:t>
      </w:r>
      <w:r>
        <w:t>HCOs</w:t>
      </w:r>
      <w:r w:rsidRPr="007766AA">
        <w:t xml:space="preserve"> </w:t>
      </w:r>
      <w:r w:rsidR="00CD2A2D">
        <w:t xml:space="preserve">in connection with </w:t>
      </w:r>
      <w:r w:rsidRPr="007766AA">
        <w:t>the planning or conduct of:</w:t>
      </w:r>
    </w:p>
    <w:p w14:paraId="214D2B69" w14:textId="77777777" w:rsidR="00F9125E" w:rsidRPr="00614924" w:rsidRDefault="00F9125E" w:rsidP="00BB190B">
      <w:pPr>
        <w:pStyle w:val="ListParagraph"/>
        <w:ind w:left="0" w:right="92"/>
        <w:jc w:val="both"/>
        <w:rPr>
          <w:lang w:val="en-US"/>
        </w:rPr>
      </w:pPr>
    </w:p>
    <w:p w14:paraId="1148D509" w14:textId="07698920" w:rsidR="006D198A" w:rsidRPr="00614924" w:rsidRDefault="00CD2A2D" w:rsidP="00BB190B">
      <w:pPr>
        <w:pStyle w:val="ListParagraph"/>
        <w:widowControl w:val="0"/>
        <w:numPr>
          <w:ilvl w:val="0"/>
          <w:numId w:val="40"/>
        </w:numPr>
        <w:spacing w:after="0"/>
        <w:ind w:left="639" w:hanging="284"/>
        <w:contextualSpacing w:val="0"/>
        <w:jc w:val="both"/>
        <w:rPr>
          <w:lang w:val="en-US"/>
        </w:rPr>
      </w:pPr>
      <w:r w:rsidRPr="00614924">
        <w:rPr>
          <w:lang w:val="en-US"/>
        </w:rPr>
        <w:t>A</w:t>
      </w:r>
      <w:r w:rsidR="00CB3A1C" w:rsidRPr="00614924">
        <w:rPr>
          <w:lang w:val="en-US"/>
        </w:rPr>
        <w:t>ny non-clinical trials intended to be submitted to regulatory authorities (as defined in the OECD principles on Good Laboratory Practice);</w:t>
      </w:r>
    </w:p>
    <w:p w14:paraId="3FA1F017" w14:textId="7C13AD71" w:rsidR="004525A3" w:rsidRPr="00614924" w:rsidRDefault="00CD2A2D" w:rsidP="00BB190B">
      <w:pPr>
        <w:pStyle w:val="ListParagraph"/>
        <w:widowControl w:val="0"/>
        <w:numPr>
          <w:ilvl w:val="0"/>
          <w:numId w:val="40"/>
        </w:numPr>
        <w:spacing w:after="0"/>
        <w:ind w:left="639" w:hanging="284"/>
        <w:contextualSpacing w:val="0"/>
        <w:jc w:val="both"/>
        <w:rPr>
          <w:lang w:val="en-US"/>
        </w:rPr>
      </w:pPr>
      <w:r w:rsidRPr="00614924">
        <w:rPr>
          <w:lang w:val="en-US"/>
        </w:rPr>
        <w:t>A</w:t>
      </w:r>
      <w:r w:rsidR="00CB3A1C" w:rsidRPr="00614924">
        <w:rPr>
          <w:lang w:val="en-US"/>
        </w:rPr>
        <w:t>ny clinical trials (as defined in the European Directive 2001/20/EC)</w:t>
      </w:r>
      <w:r w:rsidR="00222CD3" w:rsidRPr="00614924">
        <w:rPr>
          <w:lang w:val="en-US"/>
        </w:rPr>
        <w:t>, namely</w:t>
      </w:r>
    </w:p>
    <w:p w14:paraId="5D0C6C47" w14:textId="6B293C88" w:rsidR="004525A3" w:rsidRPr="00614924" w:rsidRDefault="00CD2A2D" w:rsidP="00BB190B">
      <w:pPr>
        <w:pStyle w:val="ListParagraph"/>
        <w:numPr>
          <w:ilvl w:val="1"/>
          <w:numId w:val="53"/>
        </w:numPr>
        <w:jc w:val="both"/>
        <w:rPr>
          <w:color w:val="000000"/>
          <w:lang w:val="en-US"/>
        </w:rPr>
      </w:pPr>
      <w:r>
        <w:rPr>
          <w:color w:val="000000"/>
        </w:rPr>
        <w:t>A</w:t>
      </w:r>
      <w:r w:rsidR="00222CD3" w:rsidRPr="004525A3">
        <w:rPr>
          <w:color w:val="000000"/>
        </w:rPr>
        <w:t>ny clinical trial</w:t>
      </w:r>
      <w:r w:rsidR="00222CD3">
        <w:rPr>
          <w:color w:val="000000"/>
        </w:rPr>
        <w:t>s</w:t>
      </w:r>
      <w:r w:rsidR="00222CD3" w:rsidRPr="004525A3">
        <w:rPr>
          <w:color w:val="000000"/>
        </w:rPr>
        <w:t xml:space="preserve"> in humans using an unapproved medicinal product</w:t>
      </w:r>
      <w:r w:rsidR="00222CD3">
        <w:rPr>
          <w:color w:val="000000"/>
        </w:rPr>
        <w:t>;</w:t>
      </w:r>
    </w:p>
    <w:p w14:paraId="20D6B60D" w14:textId="4516784B" w:rsidR="00AC1B76" w:rsidRPr="00AC1B76" w:rsidRDefault="00CD2A2D" w:rsidP="00BB190B">
      <w:pPr>
        <w:pStyle w:val="ListParagraph"/>
        <w:numPr>
          <w:ilvl w:val="1"/>
          <w:numId w:val="53"/>
        </w:numPr>
        <w:jc w:val="both"/>
        <w:rPr>
          <w:color w:val="000000"/>
        </w:rPr>
      </w:pPr>
      <w:r>
        <w:rPr>
          <w:color w:val="000000"/>
        </w:rPr>
        <w:t>A</w:t>
      </w:r>
      <w:r w:rsidR="00AC1B76" w:rsidRPr="00AC1B76">
        <w:rPr>
          <w:color w:val="000000"/>
        </w:rPr>
        <w:t>ny clinical trial</w:t>
      </w:r>
      <w:r w:rsidR="00AC1B76">
        <w:rPr>
          <w:color w:val="000000"/>
        </w:rPr>
        <w:t>s</w:t>
      </w:r>
      <w:r w:rsidR="00AC1B76" w:rsidRPr="00AC1B76">
        <w:rPr>
          <w:color w:val="000000"/>
        </w:rPr>
        <w:t xml:space="preserve"> in humans using an approved medicinal product where it will be used for an unapproved indication or otherwise it will be prescribed outside the</w:t>
      </w:r>
      <w:r w:rsidR="00AC1B76">
        <w:rPr>
          <w:color w:val="000000"/>
        </w:rPr>
        <w:t xml:space="preserve"> terms of its marketing authoriz</w:t>
      </w:r>
      <w:r w:rsidR="00AC1B76" w:rsidRPr="00AC1B76">
        <w:rPr>
          <w:color w:val="000000"/>
        </w:rPr>
        <w:t xml:space="preserve">ation, or where patients are prospectively assigned to different treatments, or where the protocol requires </w:t>
      </w:r>
      <w:r>
        <w:rPr>
          <w:color w:val="000000"/>
        </w:rPr>
        <w:t xml:space="preserve">any </w:t>
      </w:r>
      <w:r w:rsidR="00AC1B76" w:rsidRPr="00AC1B76">
        <w:rPr>
          <w:color w:val="000000"/>
        </w:rPr>
        <w:t xml:space="preserve">diagnostic or monitoring procedures which would not have been performed if the patient </w:t>
      </w:r>
      <w:r w:rsidR="00AC1B76">
        <w:rPr>
          <w:color w:val="000000"/>
        </w:rPr>
        <w:t xml:space="preserve">had not been included </w:t>
      </w:r>
      <w:r w:rsidR="00AC1B76" w:rsidRPr="00AC1B76">
        <w:rPr>
          <w:color w:val="000000"/>
        </w:rPr>
        <w:t xml:space="preserve">in the </w:t>
      </w:r>
      <w:r w:rsidR="00AC1B76">
        <w:rPr>
          <w:color w:val="000000"/>
        </w:rPr>
        <w:t xml:space="preserve">respective clinical </w:t>
      </w:r>
      <w:r w:rsidR="00AC1B76" w:rsidRPr="00AC1B76">
        <w:rPr>
          <w:color w:val="000000"/>
        </w:rPr>
        <w:t>trial;</w:t>
      </w:r>
    </w:p>
    <w:p w14:paraId="1903B4A6" w14:textId="7B315BC5" w:rsidR="009928DC" w:rsidRPr="009928DC" w:rsidRDefault="00CD2A2D" w:rsidP="00BB190B">
      <w:pPr>
        <w:pStyle w:val="ListParagraph"/>
        <w:numPr>
          <w:ilvl w:val="1"/>
          <w:numId w:val="53"/>
        </w:numPr>
        <w:jc w:val="both"/>
        <w:rPr>
          <w:color w:val="000000"/>
        </w:rPr>
      </w:pPr>
      <w:r>
        <w:rPr>
          <w:color w:val="000000"/>
        </w:rPr>
        <w:t>A</w:t>
      </w:r>
      <w:r w:rsidR="009928DC" w:rsidRPr="009928DC">
        <w:rPr>
          <w:color w:val="000000"/>
        </w:rPr>
        <w:t xml:space="preserve">ny other </w:t>
      </w:r>
      <w:r w:rsidR="009928DC">
        <w:rPr>
          <w:color w:val="000000"/>
        </w:rPr>
        <w:t xml:space="preserve">type of </w:t>
      </w:r>
      <w:r w:rsidR="009928DC" w:rsidRPr="009928DC">
        <w:rPr>
          <w:color w:val="000000"/>
        </w:rPr>
        <w:t>clinical trial</w:t>
      </w:r>
      <w:r w:rsidR="009928DC">
        <w:rPr>
          <w:color w:val="000000"/>
        </w:rPr>
        <w:t>s</w:t>
      </w:r>
      <w:r w:rsidR="009928DC" w:rsidRPr="009928DC">
        <w:rPr>
          <w:color w:val="000000"/>
        </w:rPr>
        <w:t xml:space="preserve"> in humans for which </w:t>
      </w:r>
      <w:r>
        <w:rPr>
          <w:color w:val="000000"/>
        </w:rPr>
        <w:t xml:space="preserve">a </w:t>
      </w:r>
      <w:r w:rsidR="009928DC" w:rsidRPr="009928DC">
        <w:rPr>
          <w:color w:val="000000"/>
        </w:rPr>
        <w:t xml:space="preserve">clinical trial approval from the regulatory authorities would be needed if the trial were to be conducted in the EU in line with </w:t>
      </w:r>
      <w:r>
        <w:rPr>
          <w:color w:val="000000"/>
        </w:rPr>
        <w:t xml:space="preserve">the </w:t>
      </w:r>
      <w:r w:rsidR="009928DC" w:rsidRPr="009928DC">
        <w:rPr>
          <w:color w:val="000000"/>
        </w:rPr>
        <w:t>E</w:t>
      </w:r>
      <w:r>
        <w:rPr>
          <w:color w:val="000000"/>
        </w:rPr>
        <w:t>U</w:t>
      </w:r>
      <w:r w:rsidR="009928DC" w:rsidRPr="009928DC">
        <w:rPr>
          <w:color w:val="000000"/>
        </w:rPr>
        <w:t xml:space="preserve"> Directive 2001/20</w:t>
      </w:r>
      <w:r>
        <w:rPr>
          <w:color w:val="000000"/>
        </w:rPr>
        <w:t>/EC</w:t>
      </w:r>
      <w:r w:rsidR="00F14630">
        <w:rPr>
          <w:color w:val="000000"/>
        </w:rPr>
        <w:t>;</w:t>
      </w:r>
    </w:p>
    <w:p w14:paraId="7E6171B8" w14:textId="74CB07E1" w:rsidR="006D198A" w:rsidRPr="00614924" w:rsidRDefault="00F14630" w:rsidP="00BB190B">
      <w:pPr>
        <w:pStyle w:val="ListParagraph"/>
        <w:numPr>
          <w:ilvl w:val="0"/>
          <w:numId w:val="40"/>
        </w:numPr>
        <w:ind w:left="709" w:hanging="425"/>
        <w:jc w:val="both"/>
        <w:rPr>
          <w:color w:val="000000"/>
          <w:lang w:val="en-US"/>
        </w:rPr>
      </w:pPr>
      <w:r w:rsidRPr="00614924">
        <w:rPr>
          <w:color w:val="000000"/>
          <w:lang w:val="en-US"/>
        </w:rPr>
        <w:t>A</w:t>
      </w:r>
      <w:r w:rsidR="009E2AB3" w:rsidRPr="00614924">
        <w:rPr>
          <w:color w:val="000000"/>
          <w:lang w:val="en-US"/>
        </w:rPr>
        <w:t xml:space="preserve">ny prospective observational studies where the </w:t>
      </w:r>
      <w:r w:rsidR="009E2AB3" w:rsidRPr="009E2AB3">
        <w:rPr>
          <w:color w:val="000000"/>
        </w:rPr>
        <w:t xml:space="preserve">patient </w:t>
      </w:r>
      <w:r w:rsidR="009E2AB3">
        <w:rPr>
          <w:color w:val="000000"/>
        </w:rPr>
        <w:t>has received a</w:t>
      </w:r>
      <w:r w:rsidR="009E2AB3" w:rsidRPr="009E2AB3">
        <w:rPr>
          <w:color w:val="000000"/>
        </w:rPr>
        <w:t xml:space="preserve"> prescri</w:t>
      </w:r>
      <w:r w:rsidR="009E2AB3">
        <w:rPr>
          <w:color w:val="000000"/>
        </w:rPr>
        <w:t>ption</w:t>
      </w:r>
      <w:r w:rsidR="009E2AB3" w:rsidRPr="009E2AB3">
        <w:rPr>
          <w:color w:val="000000"/>
        </w:rPr>
        <w:t xml:space="preserve"> </w:t>
      </w:r>
      <w:r w:rsidR="009E2AB3">
        <w:rPr>
          <w:color w:val="000000"/>
        </w:rPr>
        <w:t xml:space="preserve">for </w:t>
      </w:r>
      <w:r w:rsidR="009E2AB3" w:rsidRPr="009E2AB3">
        <w:rPr>
          <w:color w:val="000000"/>
        </w:rPr>
        <w:t xml:space="preserve">an approved medicinal product </w:t>
      </w:r>
      <w:r w:rsidR="009E2AB3">
        <w:rPr>
          <w:color w:val="000000"/>
        </w:rPr>
        <w:t xml:space="preserve">and is treated with that medicinal product </w:t>
      </w:r>
      <w:r w:rsidR="009E2AB3" w:rsidRPr="009E2AB3">
        <w:rPr>
          <w:color w:val="000000"/>
        </w:rPr>
        <w:t>in accord</w:t>
      </w:r>
      <w:r w:rsidR="009E2AB3">
        <w:rPr>
          <w:color w:val="000000"/>
        </w:rPr>
        <w:t>ance with the marketing authoriz</w:t>
      </w:r>
      <w:r w:rsidR="009E2AB3" w:rsidRPr="009E2AB3">
        <w:rPr>
          <w:color w:val="000000"/>
        </w:rPr>
        <w:t xml:space="preserve">ation and </w:t>
      </w:r>
      <w:r>
        <w:rPr>
          <w:color w:val="000000"/>
        </w:rPr>
        <w:t xml:space="preserve">the </w:t>
      </w:r>
      <w:r w:rsidR="009E2AB3" w:rsidRPr="009E2AB3">
        <w:rPr>
          <w:color w:val="000000"/>
        </w:rPr>
        <w:t>current practice a</w:t>
      </w:r>
      <w:r>
        <w:rPr>
          <w:color w:val="000000"/>
        </w:rPr>
        <w:t>s well as in accordance</w:t>
      </w:r>
      <w:r w:rsidR="009E2AB3" w:rsidRPr="009E2AB3">
        <w:rPr>
          <w:color w:val="000000"/>
        </w:rPr>
        <w:t xml:space="preserve"> with the other requirements set out in sect</w:t>
      </w:r>
      <w:r>
        <w:rPr>
          <w:color w:val="000000"/>
        </w:rPr>
        <w:t>ion 15.01 of the EFPIA HCP Code;</w:t>
      </w:r>
    </w:p>
    <w:p w14:paraId="5978C08E" w14:textId="311F746C" w:rsidR="009E2AB3" w:rsidRPr="00614924" w:rsidRDefault="009E2AB3" w:rsidP="00BB190B">
      <w:pPr>
        <w:pStyle w:val="ListParagraph"/>
        <w:ind w:left="709"/>
        <w:jc w:val="both"/>
        <w:rPr>
          <w:color w:val="000000"/>
          <w:lang w:val="en-US"/>
        </w:rPr>
      </w:pPr>
    </w:p>
    <w:p w14:paraId="08AAF4B6" w14:textId="18F52E7A" w:rsidR="004525A3" w:rsidRPr="004525A3" w:rsidRDefault="00F14630" w:rsidP="00BB190B">
      <w:pPr>
        <w:pStyle w:val="ListParagraph"/>
        <w:numPr>
          <w:ilvl w:val="0"/>
          <w:numId w:val="40"/>
        </w:numPr>
        <w:ind w:left="709" w:hanging="425"/>
        <w:jc w:val="both"/>
        <w:rPr>
          <w:color w:val="000000"/>
        </w:rPr>
      </w:pPr>
      <w:r>
        <w:rPr>
          <w:color w:val="000000"/>
        </w:rPr>
        <w:t>A</w:t>
      </w:r>
      <w:r w:rsidR="009E2AB3">
        <w:rPr>
          <w:color w:val="000000"/>
        </w:rPr>
        <w:t>ny other kinds of activities such as</w:t>
      </w:r>
      <w:r w:rsidR="00A6286C">
        <w:rPr>
          <w:color w:val="000000"/>
        </w:rPr>
        <w:t>:</w:t>
      </w:r>
    </w:p>
    <w:p w14:paraId="722075A5" w14:textId="3409255B" w:rsidR="004A4745" w:rsidRPr="00614924" w:rsidRDefault="00F14630" w:rsidP="00BB190B">
      <w:pPr>
        <w:pStyle w:val="ListParagraph"/>
        <w:numPr>
          <w:ilvl w:val="0"/>
          <w:numId w:val="54"/>
        </w:numPr>
        <w:jc w:val="both"/>
        <w:rPr>
          <w:color w:val="000000"/>
          <w:lang w:val="en-US"/>
        </w:rPr>
      </w:pPr>
      <w:r w:rsidRPr="00614924">
        <w:rPr>
          <w:color w:val="000000"/>
          <w:lang w:val="en-US"/>
        </w:rPr>
        <w:t>A</w:t>
      </w:r>
      <w:r w:rsidR="004A4745" w:rsidRPr="00614924">
        <w:rPr>
          <w:color w:val="000000"/>
          <w:lang w:val="en-US"/>
        </w:rPr>
        <w:t>ny a</w:t>
      </w:r>
      <w:r w:rsidR="004A4745" w:rsidRPr="004A4745">
        <w:rPr>
          <w:color w:val="000000"/>
        </w:rPr>
        <w:t>ctivities associated with the planning of pati</w:t>
      </w:r>
      <w:r>
        <w:rPr>
          <w:color w:val="000000"/>
        </w:rPr>
        <w:t xml:space="preserve">ent recruitment and  inclusion, of the </w:t>
      </w:r>
      <w:r w:rsidR="004A4745" w:rsidRPr="004A4745">
        <w:rPr>
          <w:color w:val="000000"/>
        </w:rPr>
        <w:t xml:space="preserve">design or timing of non-clinical studies, clinical trials and/or prospective observational studies within the context of a development plan for a </w:t>
      </w:r>
      <w:r>
        <w:rPr>
          <w:color w:val="000000"/>
        </w:rPr>
        <w:t xml:space="preserve">particular </w:t>
      </w:r>
      <w:r w:rsidR="004A4745" w:rsidRPr="004A4745">
        <w:rPr>
          <w:color w:val="000000"/>
        </w:rPr>
        <w:t>medicinal product;</w:t>
      </w:r>
    </w:p>
    <w:p w14:paraId="66EE499E" w14:textId="0B65F01A" w:rsidR="004525A3" w:rsidRPr="00614924" w:rsidRDefault="00F14630" w:rsidP="00BB190B">
      <w:pPr>
        <w:pStyle w:val="ListParagraph"/>
        <w:numPr>
          <w:ilvl w:val="0"/>
          <w:numId w:val="54"/>
        </w:numPr>
        <w:jc w:val="both"/>
        <w:rPr>
          <w:color w:val="000000"/>
          <w:lang w:val="en-US"/>
        </w:rPr>
      </w:pPr>
      <w:r w:rsidRPr="00614924">
        <w:rPr>
          <w:color w:val="000000"/>
          <w:lang w:val="en-US"/>
        </w:rPr>
        <w:t>A</w:t>
      </w:r>
      <w:r w:rsidR="00EE5174" w:rsidRPr="00614924">
        <w:rPr>
          <w:color w:val="000000"/>
          <w:lang w:val="en-US"/>
        </w:rPr>
        <w:t>ny activities associated with the planning of non-clinical studies, clinical trials or prospective observational studies;</w:t>
      </w:r>
    </w:p>
    <w:p w14:paraId="37CE00AB" w14:textId="30E52F57" w:rsidR="004525A3" w:rsidRPr="00614924" w:rsidRDefault="00F14630" w:rsidP="00BB190B">
      <w:pPr>
        <w:pStyle w:val="ListParagraph"/>
        <w:numPr>
          <w:ilvl w:val="0"/>
          <w:numId w:val="54"/>
        </w:numPr>
        <w:jc w:val="both"/>
        <w:rPr>
          <w:color w:val="000000"/>
          <w:lang w:val="en-US"/>
        </w:rPr>
      </w:pPr>
      <w:r w:rsidRPr="00614924">
        <w:rPr>
          <w:color w:val="000000"/>
          <w:lang w:val="en-US"/>
        </w:rPr>
        <w:t>A</w:t>
      </w:r>
      <w:r w:rsidR="00EE5174" w:rsidRPr="00614924">
        <w:rPr>
          <w:color w:val="000000"/>
          <w:lang w:val="en-US"/>
        </w:rPr>
        <w:t>ny activities associated with the conduct of particular non-clinical studies, clinical trials or prospective observational studies.</w:t>
      </w:r>
    </w:p>
    <w:p w14:paraId="71677D86" w14:textId="5908FB1B" w:rsidR="00F25843" w:rsidRPr="004525A3" w:rsidRDefault="00F25843" w:rsidP="00BB190B">
      <w:pPr>
        <w:jc w:val="both"/>
        <w:rPr>
          <w:color w:val="000000"/>
        </w:rPr>
      </w:pPr>
      <w:r w:rsidRPr="004525A3">
        <w:rPr>
          <w:color w:val="000000"/>
        </w:rPr>
        <w:t xml:space="preserve">Examples of activities that could be covered under </w:t>
      </w:r>
      <w:r>
        <w:rPr>
          <w:color w:val="000000"/>
        </w:rPr>
        <w:t xml:space="preserve">the category </w:t>
      </w:r>
      <w:r w:rsidRPr="004525A3">
        <w:rPr>
          <w:color w:val="000000"/>
        </w:rPr>
        <w:t xml:space="preserve">“R&amp;D </w:t>
      </w:r>
      <w:r w:rsidR="00F14630">
        <w:rPr>
          <w:color w:val="000000"/>
        </w:rPr>
        <w:t>Transfers of Value</w:t>
      </w:r>
      <w:r w:rsidRPr="004525A3">
        <w:rPr>
          <w:color w:val="000000"/>
        </w:rPr>
        <w:t>”</w:t>
      </w:r>
      <w:r>
        <w:rPr>
          <w:color w:val="000000"/>
        </w:rPr>
        <w:t xml:space="preserve"> in the Takeda disclosure report include the following</w:t>
      </w:r>
      <w:r w:rsidRPr="004525A3">
        <w:rPr>
          <w:color w:val="000000"/>
        </w:rPr>
        <w:t>:</w:t>
      </w:r>
      <w:r>
        <w:rPr>
          <w:color w:val="000000"/>
        </w:rPr>
        <w:t xml:space="preserve"> c</w:t>
      </w:r>
      <w:r>
        <w:rPr>
          <w:i/>
          <w:color w:val="000000"/>
        </w:rPr>
        <w:t xml:space="preserve">linical trials: regional and/or </w:t>
      </w:r>
      <w:r w:rsidRPr="004525A3">
        <w:rPr>
          <w:i/>
          <w:color w:val="000000"/>
        </w:rPr>
        <w:t>global, local non-interventional studies</w:t>
      </w:r>
      <w:r>
        <w:rPr>
          <w:i/>
          <w:color w:val="000000"/>
        </w:rPr>
        <w:t>.</w:t>
      </w:r>
    </w:p>
    <w:p w14:paraId="13F4B9F4" w14:textId="6DEC7E2E" w:rsidR="00932C92" w:rsidRPr="00614924" w:rsidRDefault="00932C92" w:rsidP="00BB190B">
      <w:pPr>
        <w:jc w:val="both"/>
        <w:rPr>
          <w:color w:val="000000"/>
          <w:lang w:val="en-US"/>
        </w:rPr>
      </w:pPr>
    </w:p>
    <w:p w14:paraId="04D515A6" w14:textId="6CF6BF50" w:rsidR="00CF49C8" w:rsidRDefault="00CF49C8" w:rsidP="00BB190B">
      <w:pPr>
        <w:jc w:val="both"/>
      </w:pPr>
      <w:r>
        <w:t xml:space="preserve">The </w:t>
      </w:r>
      <w:r w:rsidR="00C21C68">
        <w:t>T</w:t>
      </w:r>
      <w:r>
        <w:t xml:space="preserve">ransfers of </w:t>
      </w:r>
      <w:r w:rsidR="00C21C68">
        <w:t>V</w:t>
      </w:r>
      <w:r>
        <w:t xml:space="preserve">alue </w:t>
      </w:r>
      <w:r w:rsidR="00C21C68">
        <w:t>made</w:t>
      </w:r>
      <w:r>
        <w:t xml:space="preserve"> indirectly via a Clinical Research Organization (CRO) are also included in the R&amp;D section of the disclosure report.</w:t>
      </w:r>
      <w:r w:rsidRPr="00CF49C8">
        <w:t xml:space="preserve"> </w:t>
      </w:r>
      <w:r>
        <w:t>Any payments made to CROs for CRO-specific services are not part of the disclosure report and will not be disclosed</w:t>
      </w:r>
      <w:r w:rsidR="00A95856">
        <w:t xml:space="preserve"> unless:</w:t>
      </w:r>
    </w:p>
    <w:p w14:paraId="0147FCB1" w14:textId="6A17BEAF" w:rsidR="00837AED" w:rsidRPr="00614924" w:rsidRDefault="00A95856" w:rsidP="00BB190B">
      <w:pPr>
        <w:pStyle w:val="ListParagraph"/>
        <w:numPr>
          <w:ilvl w:val="0"/>
          <w:numId w:val="55"/>
        </w:numPr>
        <w:jc w:val="both"/>
        <w:rPr>
          <w:lang w:val="en-US"/>
        </w:rPr>
      </w:pPr>
      <w:r w:rsidRPr="00614924">
        <w:rPr>
          <w:lang w:val="en-US"/>
        </w:rPr>
        <w:t>the respective CRO is composed of HCPs or is associated with any medical institution (such as university hospitals or state-owned institutions)</w:t>
      </w:r>
      <w:r w:rsidR="00C21C68" w:rsidRPr="00614924">
        <w:rPr>
          <w:lang w:val="en-US"/>
        </w:rPr>
        <w:t xml:space="preserve">. In this case, that CRO is considered an </w:t>
      </w:r>
      <w:r w:rsidR="00C21C68" w:rsidRPr="00614924">
        <w:rPr>
          <w:lang w:val="en-US"/>
        </w:rPr>
        <w:lastRenderedPageBreak/>
        <w:t xml:space="preserve">organization with </w:t>
      </w:r>
      <w:r w:rsidR="00CD51BF" w:rsidRPr="00614924">
        <w:rPr>
          <w:lang w:val="en-US"/>
        </w:rPr>
        <w:t xml:space="preserve">any </w:t>
      </w:r>
      <w:r w:rsidR="00C21C68" w:rsidRPr="00614924">
        <w:rPr>
          <w:lang w:val="en-US"/>
        </w:rPr>
        <w:t>Transfer of Value operations being disclosed by us on an individualized basis in accordance with the general rules</w:t>
      </w:r>
      <w:r w:rsidRPr="00614924">
        <w:rPr>
          <w:lang w:val="en-US"/>
        </w:rPr>
        <w:t>;</w:t>
      </w:r>
    </w:p>
    <w:p w14:paraId="7624BB60" w14:textId="78B3E969" w:rsidR="00DA2DEB" w:rsidRPr="00614924" w:rsidRDefault="00A95856" w:rsidP="00BB190B">
      <w:pPr>
        <w:pStyle w:val="ListParagraph"/>
        <w:numPr>
          <w:ilvl w:val="0"/>
          <w:numId w:val="55"/>
        </w:numPr>
        <w:jc w:val="both"/>
        <w:rPr>
          <w:lang w:val="en-US"/>
        </w:rPr>
      </w:pPr>
      <w:r w:rsidRPr="00614924">
        <w:rPr>
          <w:lang w:val="en-US"/>
        </w:rPr>
        <w:t xml:space="preserve">the respective CRO makes indirect </w:t>
      </w:r>
      <w:r w:rsidR="00CD51BF" w:rsidRPr="00614924">
        <w:rPr>
          <w:lang w:val="en-US"/>
        </w:rPr>
        <w:t>T</w:t>
      </w:r>
      <w:r w:rsidRPr="00614924">
        <w:rPr>
          <w:lang w:val="en-US"/>
        </w:rPr>
        <w:t xml:space="preserve">ransfers of </w:t>
      </w:r>
      <w:r w:rsidR="00CD51BF" w:rsidRPr="00614924">
        <w:rPr>
          <w:lang w:val="en-US"/>
        </w:rPr>
        <w:t>V</w:t>
      </w:r>
      <w:r w:rsidRPr="00614924">
        <w:rPr>
          <w:lang w:val="en-US"/>
        </w:rPr>
        <w:t xml:space="preserve">alue to HCPs (so-called </w:t>
      </w:r>
      <w:r>
        <w:rPr>
          <w:lang w:val="en-US"/>
        </w:rPr>
        <w:t xml:space="preserve">“pass-through costs”). In this case, </w:t>
      </w:r>
      <w:r w:rsidR="00E63AB2">
        <w:rPr>
          <w:lang w:val="en-US"/>
        </w:rPr>
        <w:t xml:space="preserve">we will disclose such non-cash grants in an individualized way, specifying the corresponding HCP. </w:t>
      </w:r>
      <w:r>
        <w:rPr>
          <w:lang w:val="en-US"/>
        </w:rPr>
        <w:t xml:space="preserve"> </w:t>
      </w:r>
      <w:r w:rsidR="00DA2DEB" w:rsidRPr="00614924">
        <w:rPr>
          <w:lang w:val="en-US"/>
        </w:rPr>
        <w:t xml:space="preserve">  </w:t>
      </w:r>
    </w:p>
    <w:p w14:paraId="68340233" w14:textId="633381B7" w:rsidR="006A678A" w:rsidRDefault="00FF49C6" w:rsidP="00BB190B">
      <w:pPr>
        <w:jc w:val="both"/>
      </w:pPr>
      <w:r w:rsidRPr="00614924">
        <w:rPr>
          <w:color w:val="000000"/>
          <w:lang w:val="en-US"/>
        </w:rPr>
        <w:t xml:space="preserve">Any </w:t>
      </w:r>
      <w:r w:rsidR="00CD4905" w:rsidRPr="00614924">
        <w:rPr>
          <w:color w:val="000000"/>
          <w:lang w:val="en-US"/>
        </w:rPr>
        <w:t>T</w:t>
      </w:r>
      <w:r>
        <w:t xml:space="preserve">ransfers of </w:t>
      </w:r>
      <w:r w:rsidR="00CD4905">
        <w:t>V</w:t>
      </w:r>
      <w:r>
        <w:t>alue related to R&amp;D activities are reported as an aggregate total figure, with the exception of transfer of values</w:t>
      </w:r>
      <w:r w:rsidRPr="006A678A">
        <w:rPr>
          <w:spacing w:val="47"/>
          <w:w w:val="99"/>
        </w:rPr>
        <w:t xml:space="preserve"> </w:t>
      </w:r>
      <w:r w:rsidRPr="007766AA">
        <w:t>relat</w:t>
      </w:r>
      <w:r>
        <w:t>ed</w:t>
      </w:r>
      <w:r w:rsidRPr="006A678A">
        <w:rPr>
          <w:spacing w:val="47"/>
        </w:rPr>
        <w:t xml:space="preserve"> </w:t>
      </w:r>
      <w:r w:rsidRPr="007766AA">
        <w:t>to</w:t>
      </w:r>
      <w:r w:rsidRPr="006A678A">
        <w:rPr>
          <w:spacing w:val="48"/>
        </w:rPr>
        <w:t xml:space="preserve"> </w:t>
      </w:r>
      <w:r w:rsidRPr="007766AA">
        <w:t>retrospective</w:t>
      </w:r>
      <w:r>
        <w:t>,</w:t>
      </w:r>
      <w:r w:rsidRPr="006A678A">
        <w:rPr>
          <w:spacing w:val="46"/>
        </w:rPr>
        <w:t xml:space="preserve"> </w:t>
      </w:r>
      <w:r w:rsidRPr="007766AA">
        <w:t>non-interventional</w:t>
      </w:r>
      <w:r w:rsidRPr="006A678A">
        <w:rPr>
          <w:spacing w:val="49"/>
        </w:rPr>
        <w:t xml:space="preserve"> </w:t>
      </w:r>
      <w:r w:rsidRPr="007766AA">
        <w:t>studies,</w:t>
      </w:r>
      <w:r w:rsidRPr="006A678A">
        <w:rPr>
          <w:spacing w:val="46"/>
        </w:rPr>
        <w:t xml:space="preserve"> </w:t>
      </w:r>
      <w:r w:rsidRPr="007766AA">
        <w:t>which</w:t>
      </w:r>
      <w:r w:rsidRPr="006A678A">
        <w:rPr>
          <w:spacing w:val="46"/>
        </w:rPr>
        <w:t xml:space="preserve"> </w:t>
      </w:r>
      <w:r w:rsidRPr="007766AA">
        <w:t>shall</w:t>
      </w:r>
      <w:r w:rsidRPr="006A678A">
        <w:rPr>
          <w:spacing w:val="51"/>
        </w:rPr>
        <w:t xml:space="preserve"> </w:t>
      </w:r>
      <w:r w:rsidRPr="007766AA">
        <w:t>comply</w:t>
      </w:r>
      <w:r w:rsidRPr="006A678A">
        <w:rPr>
          <w:spacing w:val="9"/>
        </w:rPr>
        <w:t xml:space="preserve"> </w:t>
      </w:r>
      <w:r w:rsidRPr="007766AA">
        <w:t>with</w:t>
      </w:r>
      <w:r w:rsidRPr="006A678A">
        <w:rPr>
          <w:spacing w:val="9"/>
        </w:rPr>
        <w:t xml:space="preserve"> </w:t>
      </w:r>
      <w:r w:rsidRPr="007766AA">
        <w:t>the</w:t>
      </w:r>
      <w:r w:rsidRPr="006A678A">
        <w:rPr>
          <w:spacing w:val="10"/>
        </w:rPr>
        <w:t xml:space="preserve"> </w:t>
      </w:r>
      <w:r w:rsidRPr="007766AA">
        <w:t>provisions</w:t>
      </w:r>
      <w:r w:rsidRPr="006A678A">
        <w:rPr>
          <w:spacing w:val="11"/>
        </w:rPr>
        <w:t xml:space="preserve"> </w:t>
      </w:r>
      <w:r w:rsidRPr="007766AA">
        <w:t>of</w:t>
      </w:r>
      <w:r w:rsidRPr="006A678A">
        <w:rPr>
          <w:spacing w:val="9"/>
        </w:rPr>
        <w:t xml:space="preserve"> </w:t>
      </w:r>
      <w:r w:rsidRPr="007766AA">
        <w:t>Article</w:t>
      </w:r>
      <w:r w:rsidRPr="006A678A">
        <w:rPr>
          <w:spacing w:val="10"/>
        </w:rPr>
        <w:t xml:space="preserve"> </w:t>
      </w:r>
      <w:r w:rsidRPr="007766AA">
        <w:t>15</w:t>
      </w:r>
      <w:r w:rsidRPr="006A678A">
        <w:rPr>
          <w:spacing w:val="10"/>
        </w:rPr>
        <w:t xml:space="preserve"> </w:t>
      </w:r>
      <w:r w:rsidRPr="007766AA">
        <w:t>of</w:t>
      </w:r>
      <w:r w:rsidRPr="006A678A">
        <w:rPr>
          <w:spacing w:val="10"/>
        </w:rPr>
        <w:t xml:space="preserve"> </w:t>
      </w:r>
      <w:r w:rsidRPr="007766AA">
        <w:t>the</w:t>
      </w:r>
      <w:r w:rsidRPr="006A678A">
        <w:rPr>
          <w:spacing w:val="16"/>
        </w:rPr>
        <w:t xml:space="preserve"> </w:t>
      </w:r>
      <w:hyperlink r:id="rId14">
        <w:r w:rsidRPr="008B5C52">
          <w:t>EFPIA</w:t>
        </w:r>
        <w:r w:rsidRPr="006A678A">
          <w:rPr>
            <w:spacing w:val="8"/>
          </w:rPr>
          <w:t xml:space="preserve"> </w:t>
        </w:r>
        <w:r w:rsidRPr="008B5C52">
          <w:t>HCP</w:t>
        </w:r>
        <w:r w:rsidRPr="006A678A">
          <w:rPr>
            <w:spacing w:val="12"/>
          </w:rPr>
          <w:t xml:space="preserve"> </w:t>
        </w:r>
        <w:r w:rsidRPr="008B5C52">
          <w:t>Code</w:t>
        </w:r>
      </w:hyperlink>
      <w:r w:rsidRPr="007766AA">
        <w:t>,</w:t>
      </w:r>
      <w:r w:rsidRPr="006A678A">
        <w:rPr>
          <w:spacing w:val="9"/>
        </w:rPr>
        <w:t xml:space="preserve"> </w:t>
      </w:r>
      <w:r>
        <w:rPr>
          <w:spacing w:val="9"/>
        </w:rPr>
        <w:t xml:space="preserve">which </w:t>
      </w:r>
      <w:r>
        <w:t>are</w:t>
      </w:r>
      <w:r w:rsidRPr="006A678A">
        <w:rPr>
          <w:spacing w:val="-5"/>
        </w:rPr>
        <w:t xml:space="preserve"> </w:t>
      </w:r>
      <w:r w:rsidRPr="007766AA">
        <w:t>disclosed</w:t>
      </w:r>
      <w:r w:rsidRPr="006A678A">
        <w:rPr>
          <w:spacing w:val="-3"/>
        </w:rPr>
        <w:t xml:space="preserve"> </w:t>
      </w:r>
      <w:r>
        <w:rPr>
          <w:spacing w:val="-3"/>
        </w:rPr>
        <w:t xml:space="preserve">by </w:t>
      </w:r>
      <w:r>
        <w:t>naming</w:t>
      </w:r>
      <w:r w:rsidRPr="006A678A">
        <w:rPr>
          <w:spacing w:val="-4"/>
        </w:rPr>
        <w:t xml:space="preserve"> </w:t>
      </w:r>
      <w:r w:rsidRPr="007766AA">
        <w:t>the</w:t>
      </w:r>
      <w:r w:rsidRPr="006A678A">
        <w:rPr>
          <w:spacing w:val="-5"/>
        </w:rPr>
        <w:t xml:space="preserve"> </w:t>
      </w:r>
      <w:r w:rsidRPr="007766AA">
        <w:t xml:space="preserve">individual </w:t>
      </w:r>
      <w:r>
        <w:t>recipient</w:t>
      </w:r>
      <w:r w:rsidRPr="007766AA">
        <w:t>.</w:t>
      </w:r>
    </w:p>
    <w:p w14:paraId="2EEADCBF" w14:textId="77777777" w:rsidR="00FF49C6" w:rsidRPr="00614924" w:rsidRDefault="00FF49C6" w:rsidP="00BB190B">
      <w:pPr>
        <w:jc w:val="both"/>
        <w:rPr>
          <w:lang w:val="en-US"/>
        </w:rPr>
      </w:pPr>
    </w:p>
    <w:p w14:paraId="33371C64" w14:textId="4A042425" w:rsidR="00067B68" w:rsidRPr="00724A0F" w:rsidRDefault="003669D3" w:rsidP="00BB190B">
      <w:pPr>
        <w:pStyle w:val="Heading2"/>
        <w:numPr>
          <w:ilvl w:val="1"/>
          <w:numId w:val="45"/>
        </w:numPr>
        <w:ind w:left="567" w:hanging="567"/>
        <w:jc w:val="both"/>
        <w:rPr>
          <w:rFonts w:asciiTheme="minorHAnsi" w:hAnsiTheme="minorHAnsi"/>
        </w:rPr>
      </w:pPr>
      <w:bookmarkStart w:id="25" w:name="_Toc454265282"/>
      <w:r>
        <w:rPr>
          <w:rFonts w:asciiTheme="minorHAnsi" w:hAnsiTheme="minorHAnsi"/>
        </w:rPr>
        <w:t>Transfer of Value in Cross-Border Interactions</w:t>
      </w:r>
      <w:bookmarkEnd w:id="25"/>
    </w:p>
    <w:p w14:paraId="301BD93B" w14:textId="15940CF3" w:rsidR="00965159" w:rsidRPr="006B6231" w:rsidRDefault="00965159" w:rsidP="00BB190B">
      <w:pPr>
        <w:jc w:val="both"/>
      </w:pPr>
      <w:r w:rsidRPr="00614924">
        <w:rPr>
          <w:lang w:val="en-US"/>
        </w:rPr>
        <w:t xml:space="preserve">Any </w:t>
      </w:r>
      <w:r w:rsidR="00CD4905" w:rsidRPr="00614924">
        <w:rPr>
          <w:lang w:val="en-US"/>
        </w:rPr>
        <w:t>T</w:t>
      </w:r>
      <w:r>
        <w:t xml:space="preserve">ransfers of </w:t>
      </w:r>
      <w:r w:rsidR="00CD4905">
        <w:t>V</w:t>
      </w:r>
      <w:r>
        <w:t>alue made in connection with cross-border interactions and activities are</w:t>
      </w:r>
      <w:r w:rsidRPr="00724A0F">
        <w:t xml:space="preserve"> </w:t>
      </w:r>
      <w:r>
        <w:t>part of our</w:t>
      </w:r>
      <w:r w:rsidRPr="00724A0F">
        <w:t xml:space="preserve"> disclosure report.  The cross</w:t>
      </w:r>
      <w:r>
        <w:t>-</w:t>
      </w:r>
      <w:r w:rsidRPr="00724A0F">
        <w:t xml:space="preserve">border activities </w:t>
      </w:r>
      <w:r w:rsidR="00CD4905">
        <w:t xml:space="preserve">concerned </w:t>
      </w:r>
      <w:r w:rsidRPr="00724A0F">
        <w:t xml:space="preserve">are disclosed </w:t>
      </w:r>
      <w:r w:rsidRPr="006B6231">
        <w:t xml:space="preserve">in the country of </w:t>
      </w:r>
      <w:r>
        <w:t xml:space="preserve">the </w:t>
      </w:r>
      <w:r w:rsidRPr="006B6231">
        <w:t>HCP recipient’s primary practice address.</w:t>
      </w:r>
    </w:p>
    <w:p w14:paraId="230145BD" w14:textId="02D48F80" w:rsidR="004200DB" w:rsidRDefault="004200DB" w:rsidP="00BB190B">
      <w:pPr>
        <w:jc w:val="both"/>
      </w:pPr>
      <w:r w:rsidRPr="00BB190B">
        <w:rPr>
          <w:lang w:val="en-US"/>
        </w:rPr>
        <w:t>So if,</w:t>
      </w:r>
      <w:r w:rsidR="00E4063F" w:rsidRPr="00BB190B">
        <w:rPr>
          <w:lang w:val="en-US"/>
        </w:rPr>
        <w:t xml:space="preserve"> </w:t>
      </w:r>
      <w:r w:rsidRPr="00BB190B">
        <w:rPr>
          <w:lang w:val="en-US"/>
        </w:rPr>
        <w:t>f</w:t>
      </w:r>
      <w:r w:rsidRPr="00BB190B">
        <w:t xml:space="preserve">or instance, a German HCP </w:t>
      </w:r>
      <w:r w:rsidR="00CD4905" w:rsidRPr="00BB190B">
        <w:t xml:space="preserve">acting in the capacity of a </w:t>
      </w:r>
      <w:r w:rsidRPr="00BB190B">
        <w:t xml:space="preserve">consultant is contracted by a foreign Takeda legal entity, Takeda will disclose the associated </w:t>
      </w:r>
      <w:r w:rsidR="00CD4905" w:rsidRPr="00BB190B">
        <w:t>T</w:t>
      </w:r>
      <w:r w:rsidRPr="00BB190B">
        <w:t xml:space="preserve">ransfer(s) of </w:t>
      </w:r>
      <w:r w:rsidR="00CD4905" w:rsidRPr="00BB190B">
        <w:t>V</w:t>
      </w:r>
      <w:r w:rsidRPr="00BB190B">
        <w:t xml:space="preserve">alue in the disclosure report for Germany, in line with the </w:t>
      </w:r>
      <w:r w:rsidR="00CD4905" w:rsidRPr="00BB190B">
        <w:t xml:space="preserve">respective </w:t>
      </w:r>
      <w:r w:rsidRPr="00BB190B">
        <w:t>HCP</w:t>
      </w:r>
      <w:r w:rsidR="00CD4905" w:rsidRPr="00BB190B">
        <w:t>’s</w:t>
      </w:r>
      <w:r w:rsidRPr="00BB190B">
        <w:t xml:space="preserve"> primary practice address.</w:t>
      </w:r>
      <w:r w:rsidRPr="005367F5">
        <w:t xml:space="preserve">  </w:t>
      </w:r>
    </w:p>
    <w:p w14:paraId="336E2108" w14:textId="77777777" w:rsidR="00581A91" w:rsidRPr="006B6231" w:rsidRDefault="00581A91" w:rsidP="00BB190B">
      <w:pPr>
        <w:jc w:val="both"/>
      </w:pPr>
    </w:p>
    <w:p w14:paraId="4CE4FEBB" w14:textId="2F91C4B8" w:rsidR="005A07F0" w:rsidRPr="00614924" w:rsidRDefault="001B0269" w:rsidP="00BB190B">
      <w:pPr>
        <w:pStyle w:val="Heading1"/>
        <w:numPr>
          <w:ilvl w:val="0"/>
          <w:numId w:val="5"/>
        </w:numPr>
        <w:spacing w:before="0"/>
        <w:jc w:val="both"/>
        <w:rPr>
          <w:rFonts w:asciiTheme="minorHAnsi" w:hAnsiTheme="minorHAnsi"/>
          <w:lang w:val="en-US"/>
        </w:rPr>
      </w:pPr>
      <w:bookmarkStart w:id="26" w:name="_Toc454265283"/>
      <w:bookmarkStart w:id="27" w:name="_Toc311393076"/>
      <w:bookmarkStart w:id="28" w:name="_Toc313556001"/>
      <w:bookmarkStart w:id="29" w:name="_Toc310773575"/>
      <w:r w:rsidRPr="00614924">
        <w:rPr>
          <w:rFonts w:asciiTheme="minorHAnsi" w:hAnsiTheme="minorHAnsi"/>
          <w:lang w:val="en-US"/>
        </w:rPr>
        <w:t>Private Consent to Disclosure and Aggregate Amount</w:t>
      </w:r>
      <w:bookmarkEnd w:id="26"/>
    </w:p>
    <w:p w14:paraId="57246AC7" w14:textId="604E5AEE" w:rsidR="003718FE" w:rsidRPr="00614924" w:rsidRDefault="003718FE" w:rsidP="00BB190B">
      <w:pPr>
        <w:jc w:val="both"/>
        <w:rPr>
          <w:lang w:val="en-US"/>
        </w:rPr>
      </w:pPr>
      <w:r w:rsidRPr="00614924">
        <w:rPr>
          <w:lang w:val="en-US"/>
        </w:rPr>
        <w:t>The HCP</w:t>
      </w:r>
      <w:r w:rsidR="002C5164" w:rsidRPr="00614924">
        <w:rPr>
          <w:lang w:val="en-US"/>
        </w:rPr>
        <w:t>-related</w:t>
      </w:r>
      <w:r w:rsidRPr="00614924">
        <w:rPr>
          <w:lang w:val="en-US"/>
        </w:rPr>
        <w:t xml:space="preserve"> individual disclosure of the Transfer</w:t>
      </w:r>
      <w:r w:rsidR="002C5164" w:rsidRPr="00614924">
        <w:rPr>
          <w:lang w:val="en-US"/>
        </w:rPr>
        <w:t>s</w:t>
      </w:r>
      <w:r w:rsidRPr="00614924">
        <w:rPr>
          <w:lang w:val="en-US"/>
        </w:rPr>
        <w:t xml:space="preserve"> of Value provided to an HCP is covered and governed by local privacy regulation</w:t>
      </w:r>
      <w:r w:rsidR="002C5164" w:rsidRPr="00614924">
        <w:rPr>
          <w:lang w:val="en-US"/>
        </w:rPr>
        <w:t>s</w:t>
      </w:r>
      <w:r w:rsidRPr="00614924">
        <w:rPr>
          <w:lang w:val="en-US"/>
        </w:rPr>
        <w:t xml:space="preserve">. </w:t>
      </w:r>
    </w:p>
    <w:p w14:paraId="43D640D4" w14:textId="542BE7F2" w:rsidR="003718FE" w:rsidRPr="00BB190B" w:rsidRDefault="003718FE" w:rsidP="00BB190B">
      <w:pPr>
        <w:jc w:val="both"/>
      </w:pPr>
      <w:r w:rsidRPr="00BB190B">
        <w:t xml:space="preserve">In Germany, the respective HCP should provide his/her privacy consent to allow the publication of the received Transfer of Value at an individual level. If </w:t>
      </w:r>
      <w:r w:rsidR="00ED4DD7" w:rsidRPr="00BB190B">
        <w:t>such</w:t>
      </w:r>
      <w:r w:rsidRPr="00BB190B">
        <w:t xml:space="preserve"> individual privacy consent is not provided, Takeda will publish the relevant Transfer of Value as </w:t>
      </w:r>
      <w:r w:rsidR="00ED4DD7" w:rsidRPr="00BB190B">
        <w:t xml:space="preserve">an </w:t>
      </w:r>
      <w:r w:rsidRPr="00BB190B">
        <w:t xml:space="preserve">aggregate value including all HCPs who did not provide their privacy consent. </w:t>
      </w:r>
    </w:p>
    <w:p w14:paraId="41D00BAB" w14:textId="57760988" w:rsidR="00160319" w:rsidRPr="00BB190B" w:rsidRDefault="00160319" w:rsidP="00BB190B">
      <w:pPr>
        <w:jc w:val="both"/>
        <w:rPr>
          <w:lang w:val="en-US"/>
        </w:rPr>
      </w:pPr>
      <w:r w:rsidRPr="00BB190B">
        <w:rPr>
          <w:lang w:val="en-US"/>
        </w:rPr>
        <w:t>With regard the individual HCP-related disclosure, Takeda has decided to collect privacy consent for each Transfer of Value on the basis of which the respective HCP then agrees to the corresponding Transfers of Value being disclosed at an individual level. If, however, the HC</w:t>
      </w:r>
      <w:r w:rsidR="004820AB" w:rsidRPr="00BB190B">
        <w:rPr>
          <w:lang w:val="en-US"/>
        </w:rPr>
        <w:t xml:space="preserve">P refuses to give his/her consent for at least one </w:t>
      </w:r>
      <w:r w:rsidRPr="00BB190B">
        <w:rPr>
          <w:lang w:val="en-US"/>
        </w:rPr>
        <w:t xml:space="preserve">Transfer of </w:t>
      </w:r>
      <w:r w:rsidR="004820AB" w:rsidRPr="00BB190B">
        <w:rPr>
          <w:lang w:val="en-US"/>
        </w:rPr>
        <w:t>V</w:t>
      </w:r>
      <w:r w:rsidRPr="00BB190B">
        <w:rPr>
          <w:lang w:val="en-US"/>
        </w:rPr>
        <w:t>alue</w:t>
      </w:r>
      <w:r w:rsidR="004820AB" w:rsidRPr="00BB190B">
        <w:rPr>
          <w:lang w:val="en-US"/>
        </w:rPr>
        <w:t xml:space="preserve">, </w:t>
      </w:r>
      <w:r w:rsidRPr="00BB190B">
        <w:rPr>
          <w:lang w:val="en-US"/>
        </w:rPr>
        <w:t xml:space="preserve">then all </w:t>
      </w:r>
      <w:r w:rsidR="004820AB" w:rsidRPr="00BB190B">
        <w:rPr>
          <w:lang w:val="en-US"/>
        </w:rPr>
        <w:t>T</w:t>
      </w:r>
      <w:r w:rsidRPr="00BB190B">
        <w:rPr>
          <w:lang w:val="en-US"/>
        </w:rPr>
        <w:t>ransfer</w:t>
      </w:r>
      <w:r w:rsidR="004820AB" w:rsidRPr="00BB190B">
        <w:rPr>
          <w:lang w:val="en-US"/>
        </w:rPr>
        <w:t>s</w:t>
      </w:r>
      <w:r w:rsidRPr="00BB190B">
        <w:rPr>
          <w:lang w:val="en-US"/>
        </w:rPr>
        <w:t xml:space="preserve"> of </w:t>
      </w:r>
      <w:r w:rsidR="004820AB" w:rsidRPr="00BB190B">
        <w:rPr>
          <w:lang w:val="en-US"/>
        </w:rPr>
        <w:t>V</w:t>
      </w:r>
      <w:r w:rsidRPr="00BB190B">
        <w:rPr>
          <w:lang w:val="en-US"/>
        </w:rPr>
        <w:t xml:space="preserve">alue </w:t>
      </w:r>
      <w:r w:rsidR="004820AB" w:rsidRPr="00BB190B">
        <w:rPr>
          <w:lang w:val="en-US"/>
        </w:rPr>
        <w:t xml:space="preserve">operations </w:t>
      </w:r>
      <w:r w:rsidRPr="00BB190B">
        <w:rPr>
          <w:lang w:val="en-US"/>
        </w:rPr>
        <w:t xml:space="preserve">related </w:t>
      </w:r>
      <w:r w:rsidR="004820AB" w:rsidRPr="00BB190B">
        <w:rPr>
          <w:lang w:val="en-US"/>
        </w:rPr>
        <w:t xml:space="preserve">and made </w:t>
      </w:r>
      <w:r w:rsidRPr="00BB190B">
        <w:rPr>
          <w:lang w:val="en-US"/>
        </w:rPr>
        <w:t xml:space="preserve">to this HCP </w:t>
      </w:r>
      <w:r w:rsidR="004820AB" w:rsidRPr="00BB190B">
        <w:rPr>
          <w:lang w:val="en-US"/>
        </w:rPr>
        <w:t xml:space="preserve">will be </w:t>
      </w:r>
      <w:r w:rsidRPr="00BB190B">
        <w:rPr>
          <w:lang w:val="en-US"/>
        </w:rPr>
        <w:t>disclosed a</w:t>
      </w:r>
      <w:r w:rsidR="004820AB" w:rsidRPr="00BB190B">
        <w:rPr>
          <w:lang w:val="en-US"/>
        </w:rPr>
        <w:t xml:space="preserve">s a total amount as well as on an </w:t>
      </w:r>
      <w:r w:rsidRPr="00BB190B">
        <w:rPr>
          <w:lang w:val="en-US"/>
        </w:rPr>
        <w:t>aggregate basis</w:t>
      </w:r>
      <w:r w:rsidR="004820AB" w:rsidRPr="00BB190B">
        <w:rPr>
          <w:lang w:val="en-US"/>
        </w:rPr>
        <w:t xml:space="preserve"> and in an anonymized form referring to all persons of that particular group</w:t>
      </w:r>
      <w:r w:rsidRPr="00BB190B">
        <w:rPr>
          <w:lang w:val="en-US"/>
        </w:rPr>
        <w:t>.</w:t>
      </w:r>
    </w:p>
    <w:p w14:paraId="5514DCC1" w14:textId="4BB4ACE0" w:rsidR="00EF26A8" w:rsidRDefault="00EF26A8" w:rsidP="00BB190B">
      <w:pPr>
        <w:jc w:val="both"/>
      </w:pPr>
      <w:r w:rsidRPr="00BB190B">
        <w:t xml:space="preserve">If, for instance, a HCP is contracted for </w:t>
      </w:r>
      <w:r w:rsidRPr="00BB190B">
        <w:rPr>
          <w:lang w:val="en-US"/>
        </w:rPr>
        <w:t>five</w:t>
      </w:r>
      <w:r w:rsidRPr="00BB190B">
        <w:t xml:space="preserve"> individual activities throughout the year and gives his consent</w:t>
      </w:r>
      <w:r>
        <w:t xml:space="preserve"> to disclosure for the first four of them and refuses to provide his consent for the last one, then all the related Transfers of Value will be disclosed in the aggregate section of the report</w:t>
      </w:r>
      <w:r w:rsidR="00700471">
        <w:t xml:space="preserve"> on an aggregate basis and in an anonymized form</w:t>
      </w:r>
      <w:r>
        <w:t>.</w:t>
      </w:r>
    </w:p>
    <w:p w14:paraId="368BECE6" w14:textId="08233355" w:rsidR="004F7E86" w:rsidRDefault="004F7E86" w:rsidP="00BB190B">
      <w:pPr>
        <w:jc w:val="both"/>
      </w:pPr>
      <w:r w:rsidRPr="00BB190B">
        <w:t>A HCP may, at any moment, make use of his/her right to withdraw and revoke his/its consent for a given Transfer of Value. If such revocation is made before the official disclosure, then all Transfers of Value for this particular HCP will be disclosed in the aggregate section of the report on an aggregate basis and in an</w:t>
      </w:r>
      <w:r>
        <w:t xml:space="preserve"> anonymized form.</w:t>
      </w:r>
    </w:p>
    <w:p w14:paraId="5FEA2442" w14:textId="23C3E714" w:rsidR="00F655ED" w:rsidRDefault="00F655ED" w:rsidP="00BB190B">
      <w:pPr>
        <w:jc w:val="both"/>
      </w:pPr>
      <w:r>
        <w:lastRenderedPageBreak/>
        <w:t>While respecting the local privacy legislation, Takeda has made</w:t>
      </w:r>
      <w:r w:rsidRPr="007766AA">
        <w:t xml:space="preserve"> </w:t>
      </w:r>
      <w:r>
        <w:t xml:space="preserve">the </w:t>
      </w:r>
      <w:r w:rsidRPr="007766AA">
        <w:t xml:space="preserve">best efforts to obtain the </w:t>
      </w:r>
      <w:r>
        <w:t xml:space="preserve">privacy </w:t>
      </w:r>
      <w:r w:rsidRPr="007766AA">
        <w:t xml:space="preserve">consents necessary to </w:t>
      </w:r>
      <w:r>
        <w:t xml:space="preserve">the </w:t>
      </w:r>
      <w:r w:rsidRPr="007766AA">
        <w:t xml:space="preserve">disclosure of </w:t>
      </w:r>
      <w:r>
        <w:t xml:space="preserve">Transfer of Value transactions at the individual level and retains documented </w:t>
      </w:r>
      <w:r w:rsidRPr="007766AA">
        <w:t>evidence</w:t>
      </w:r>
      <w:r>
        <w:t xml:space="preserve"> regarding any request/receipt/denial of privacy consent.</w:t>
      </w:r>
    </w:p>
    <w:p w14:paraId="2D84B8F1" w14:textId="77777777" w:rsidR="00E648AC" w:rsidRDefault="00E648AC" w:rsidP="00BB190B">
      <w:pPr>
        <w:jc w:val="both"/>
      </w:pPr>
    </w:p>
    <w:p w14:paraId="1D405703" w14:textId="57B7C4C0" w:rsidR="007A2B36" w:rsidRPr="00614924" w:rsidRDefault="00C81510" w:rsidP="00BB190B">
      <w:pPr>
        <w:jc w:val="both"/>
        <w:rPr>
          <w:rFonts w:eastAsiaTheme="majorEastAsia" w:cstheme="majorBidi"/>
          <w:b/>
          <w:bCs/>
          <w:color w:val="365F91" w:themeColor="accent1" w:themeShade="BF"/>
          <w:sz w:val="28"/>
          <w:szCs w:val="28"/>
          <w:lang w:val="en-US"/>
        </w:rPr>
      </w:pPr>
      <w:r w:rsidRPr="00614924">
        <w:rPr>
          <w:rFonts w:eastAsiaTheme="majorEastAsia" w:cstheme="majorBidi"/>
          <w:b/>
          <w:bCs/>
          <w:color w:val="365F91" w:themeColor="accent1" w:themeShade="BF"/>
          <w:sz w:val="28"/>
          <w:szCs w:val="28"/>
          <w:lang w:val="en-US"/>
        </w:rPr>
        <w:t xml:space="preserve">4. </w:t>
      </w:r>
      <w:r w:rsidR="00F655ED" w:rsidRPr="00614924">
        <w:rPr>
          <w:rFonts w:eastAsiaTheme="majorEastAsia" w:cstheme="majorBidi"/>
          <w:b/>
          <w:bCs/>
          <w:color w:val="365F91" w:themeColor="accent1" w:themeShade="BF"/>
          <w:sz w:val="28"/>
          <w:szCs w:val="28"/>
          <w:lang w:val="en-US"/>
        </w:rPr>
        <w:t>Working Assumptions</w:t>
      </w:r>
    </w:p>
    <w:p w14:paraId="4E35D027" w14:textId="4003D35D" w:rsidR="008363CD" w:rsidRPr="00614924" w:rsidRDefault="00545024" w:rsidP="00BB190B">
      <w:pPr>
        <w:pStyle w:val="Heading1"/>
        <w:spacing w:before="0"/>
        <w:jc w:val="both"/>
        <w:rPr>
          <w:rFonts w:asciiTheme="minorHAnsi" w:hAnsiTheme="minorHAnsi"/>
          <w:color w:val="4F81BD" w:themeColor="accent1"/>
          <w:sz w:val="26"/>
          <w:szCs w:val="26"/>
          <w:lang w:val="en-US"/>
        </w:rPr>
      </w:pPr>
      <w:bookmarkStart w:id="30" w:name="_Toc454265284"/>
      <w:r w:rsidRPr="00614924">
        <w:rPr>
          <w:rFonts w:asciiTheme="minorHAnsi" w:hAnsiTheme="minorHAnsi"/>
          <w:color w:val="4F81BD" w:themeColor="accent1"/>
          <w:sz w:val="26"/>
          <w:szCs w:val="26"/>
          <w:lang w:val="en-US"/>
        </w:rPr>
        <w:t xml:space="preserve">4.1 </w:t>
      </w:r>
      <w:bookmarkEnd w:id="27"/>
      <w:bookmarkEnd w:id="28"/>
      <w:r w:rsidR="00274592" w:rsidRPr="00614924">
        <w:rPr>
          <w:rFonts w:asciiTheme="minorHAnsi" w:hAnsiTheme="minorHAnsi"/>
          <w:color w:val="4F81BD" w:themeColor="accent1"/>
          <w:sz w:val="26"/>
          <w:szCs w:val="26"/>
          <w:lang w:val="en-US"/>
        </w:rPr>
        <w:t>Date of Transfer of Value</w:t>
      </w:r>
      <w:bookmarkEnd w:id="30"/>
    </w:p>
    <w:p w14:paraId="750B35F8" w14:textId="7CEC8ACC" w:rsidR="00274592" w:rsidRPr="00497FB9" w:rsidRDefault="00274592" w:rsidP="00BB190B">
      <w:pPr>
        <w:pStyle w:val="Heading4"/>
        <w:jc w:val="both"/>
        <w:rPr>
          <w:rFonts w:asciiTheme="minorHAnsi" w:eastAsiaTheme="minorEastAsia" w:hAnsiTheme="minorHAnsi" w:cstheme="minorBidi"/>
          <w:b w:val="0"/>
          <w:bCs w:val="0"/>
          <w:i w:val="0"/>
          <w:iCs w:val="0"/>
          <w:color w:val="auto"/>
        </w:rPr>
      </w:pPr>
      <w:r>
        <w:rPr>
          <w:rFonts w:asciiTheme="minorHAnsi" w:eastAsiaTheme="minorEastAsia" w:hAnsiTheme="minorHAnsi" w:cstheme="minorBidi"/>
          <w:b w:val="0"/>
          <w:bCs w:val="0"/>
          <w:i w:val="0"/>
          <w:iCs w:val="0"/>
          <w:color w:val="auto"/>
        </w:rPr>
        <w:t>Within Takeda, e</w:t>
      </w:r>
      <w:r w:rsidRPr="00497FB9">
        <w:rPr>
          <w:rFonts w:asciiTheme="minorHAnsi" w:eastAsiaTheme="minorEastAsia" w:hAnsiTheme="minorHAnsi" w:cstheme="minorBidi"/>
          <w:b w:val="0"/>
          <w:bCs w:val="0"/>
          <w:i w:val="0"/>
          <w:iCs w:val="0"/>
          <w:color w:val="auto"/>
        </w:rPr>
        <w:t xml:space="preserve">ach </w:t>
      </w:r>
      <w:r>
        <w:rPr>
          <w:rFonts w:asciiTheme="minorHAnsi" w:eastAsiaTheme="minorEastAsia" w:hAnsiTheme="minorHAnsi" w:cstheme="minorBidi"/>
          <w:b w:val="0"/>
          <w:bCs w:val="0"/>
          <w:i w:val="0"/>
          <w:iCs w:val="0"/>
          <w:color w:val="auto"/>
        </w:rPr>
        <w:t xml:space="preserve">interaction with a HCO and a HCP </w:t>
      </w:r>
      <w:r w:rsidRPr="00497FB9">
        <w:rPr>
          <w:rFonts w:asciiTheme="minorHAnsi" w:eastAsiaTheme="minorEastAsia" w:hAnsiTheme="minorHAnsi" w:cstheme="minorBidi"/>
          <w:b w:val="0"/>
          <w:bCs w:val="0"/>
          <w:i w:val="0"/>
          <w:iCs w:val="0"/>
          <w:color w:val="auto"/>
        </w:rPr>
        <w:t xml:space="preserve">is subject to a rigorous need assessment and </w:t>
      </w:r>
      <w:r>
        <w:rPr>
          <w:rFonts w:asciiTheme="minorHAnsi" w:eastAsiaTheme="minorEastAsia" w:hAnsiTheme="minorHAnsi" w:cstheme="minorBidi"/>
          <w:b w:val="0"/>
          <w:bCs w:val="0"/>
          <w:i w:val="0"/>
          <w:iCs w:val="0"/>
          <w:color w:val="auto"/>
        </w:rPr>
        <w:t xml:space="preserve">to an </w:t>
      </w:r>
      <w:r w:rsidRPr="00497FB9">
        <w:rPr>
          <w:rFonts w:asciiTheme="minorHAnsi" w:eastAsiaTheme="minorEastAsia" w:hAnsiTheme="minorHAnsi" w:cstheme="minorBidi"/>
          <w:b w:val="0"/>
          <w:bCs w:val="0"/>
          <w:i w:val="0"/>
          <w:iCs w:val="0"/>
          <w:color w:val="auto"/>
        </w:rPr>
        <w:t xml:space="preserve">internal approval process. Upon </w:t>
      </w:r>
      <w:r>
        <w:rPr>
          <w:rFonts w:asciiTheme="minorHAnsi" w:eastAsiaTheme="minorEastAsia" w:hAnsiTheme="minorHAnsi" w:cstheme="minorBidi"/>
          <w:b w:val="0"/>
          <w:bCs w:val="0"/>
          <w:i w:val="0"/>
          <w:iCs w:val="0"/>
          <w:color w:val="auto"/>
        </w:rPr>
        <w:t xml:space="preserve">grant of </w:t>
      </w:r>
      <w:r w:rsidRPr="00497FB9">
        <w:rPr>
          <w:rFonts w:asciiTheme="minorHAnsi" w:eastAsiaTheme="minorEastAsia" w:hAnsiTheme="minorHAnsi" w:cstheme="minorBidi"/>
          <w:b w:val="0"/>
          <w:bCs w:val="0"/>
          <w:i w:val="0"/>
          <w:iCs w:val="0"/>
          <w:color w:val="auto"/>
        </w:rPr>
        <w:t xml:space="preserve">approval, </w:t>
      </w:r>
      <w:r>
        <w:rPr>
          <w:rFonts w:asciiTheme="minorHAnsi" w:eastAsiaTheme="minorEastAsia" w:hAnsiTheme="minorHAnsi" w:cstheme="minorBidi"/>
          <w:b w:val="0"/>
          <w:bCs w:val="0"/>
          <w:i w:val="0"/>
          <w:iCs w:val="0"/>
          <w:color w:val="auto"/>
        </w:rPr>
        <w:t xml:space="preserve">Takeda then proceeds </w:t>
      </w:r>
      <w:r w:rsidRPr="00497FB9">
        <w:rPr>
          <w:rFonts w:asciiTheme="minorHAnsi" w:eastAsiaTheme="minorEastAsia" w:hAnsiTheme="minorHAnsi" w:cstheme="minorBidi"/>
          <w:b w:val="0"/>
          <w:bCs w:val="0"/>
          <w:i w:val="0"/>
          <w:iCs w:val="0"/>
          <w:color w:val="auto"/>
        </w:rPr>
        <w:t xml:space="preserve">to </w:t>
      </w:r>
      <w:r>
        <w:rPr>
          <w:rFonts w:asciiTheme="minorHAnsi" w:eastAsiaTheme="minorEastAsia" w:hAnsiTheme="minorHAnsi" w:cstheme="minorBidi"/>
          <w:b w:val="0"/>
          <w:bCs w:val="0"/>
          <w:i w:val="0"/>
          <w:iCs w:val="0"/>
          <w:color w:val="auto"/>
        </w:rPr>
        <w:t xml:space="preserve">the </w:t>
      </w:r>
      <w:r w:rsidRPr="00497FB9">
        <w:rPr>
          <w:rFonts w:asciiTheme="minorHAnsi" w:eastAsiaTheme="minorEastAsia" w:hAnsiTheme="minorHAnsi" w:cstheme="minorBidi"/>
          <w:b w:val="0"/>
          <w:bCs w:val="0"/>
          <w:i w:val="0"/>
          <w:iCs w:val="0"/>
          <w:color w:val="auto"/>
        </w:rPr>
        <w:t xml:space="preserve">contracting </w:t>
      </w:r>
      <w:r>
        <w:rPr>
          <w:rFonts w:asciiTheme="minorHAnsi" w:eastAsiaTheme="minorEastAsia" w:hAnsiTheme="minorHAnsi" w:cstheme="minorBidi"/>
          <w:b w:val="0"/>
          <w:bCs w:val="0"/>
          <w:i w:val="0"/>
          <w:iCs w:val="0"/>
          <w:color w:val="auto"/>
        </w:rPr>
        <w:t xml:space="preserve">process </w:t>
      </w:r>
      <w:r w:rsidRPr="00497FB9">
        <w:rPr>
          <w:rFonts w:asciiTheme="minorHAnsi" w:eastAsiaTheme="minorEastAsia" w:hAnsiTheme="minorHAnsi" w:cstheme="minorBidi"/>
          <w:b w:val="0"/>
          <w:bCs w:val="0"/>
          <w:i w:val="0"/>
          <w:iCs w:val="0"/>
          <w:color w:val="auto"/>
        </w:rPr>
        <w:t>which cover</w:t>
      </w:r>
      <w:r>
        <w:rPr>
          <w:rFonts w:asciiTheme="minorHAnsi" w:eastAsiaTheme="minorEastAsia" w:hAnsiTheme="minorHAnsi" w:cstheme="minorBidi"/>
          <w:b w:val="0"/>
          <w:bCs w:val="0"/>
          <w:i w:val="0"/>
          <w:iCs w:val="0"/>
          <w:color w:val="auto"/>
        </w:rPr>
        <w:t>s</w:t>
      </w:r>
      <w:r w:rsidRPr="00497FB9">
        <w:rPr>
          <w:rFonts w:asciiTheme="minorHAnsi" w:eastAsiaTheme="minorEastAsia" w:hAnsiTheme="minorHAnsi" w:cstheme="minorBidi"/>
          <w:b w:val="0"/>
          <w:bCs w:val="0"/>
          <w:i w:val="0"/>
          <w:iCs w:val="0"/>
          <w:color w:val="auto"/>
        </w:rPr>
        <w:t xml:space="preserve"> </w:t>
      </w:r>
      <w:r>
        <w:rPr>
          <w:rFonts w:asciiTheme="minorHAnsi" w:eastAsiaTheme="minorEastAsia" w:hAnsiTheme="minorHAnsi" w:cstheme="minorBidi"/>
          <w:b w:val="0"/>
          <w:bCs w:val="0"/>
          <w:i w:val="0"/>
          <w:iCs w:val="0"/>
          <w:color w:val="auto"/>
        </w:rPr>
        <w:t>the T</w:t>
      </w:r>
      <w:r w:rsidRPr="00497FB9">
        <w:rPr>
          <w:rFonts w:asciiTheme="minorHAnsi" w:eastAsiaTheme="minorEastAsia" w:hAnsiTheme="minorHAnsi" w:cstheme="minorBidi"/>
          <w:b w:val="0"/>
          <w:bCs w:val="0"/>
          <w:i w:val="0"/>
          <w:iCs w:val="0"/>
          <w:color w:val="auto"/>
        </w:rPr>
        <w:t xml:space="preserve">ransfer of Value and </w:t>
      </w:r>
      <w:r w:rsidR="0073100F">
        <w:rPr>
          <w:rFonts w:asciiTheme="minorHAnsi" w:eastAsiaTheme="minorEastAsia" w:hAnsiTheme="minorHAnsi" w:cstheme="minorBidi"/>
          <w:b w:val="0"/>
          <w:bCs w:val="0"/>
          <w:i w:val="0"/>
          <w:iCs w:val="0"/>
          <w:color w:val="auto"/>
        </w:rPr>
        <w:t xml:space="preserve">the </w:t>
      </w:r>
      <w:r w:rsidRPr="00497FB9">
        <w:rPr>
          <w:rFonts w:asciiTheme="minorHAnsi" w:eastAsiaTheme="minorEastAsia" w:hAnsiTheme="minorHAnsi" w:cstheme="minorBidi"/>
          <w:b w:val="0"/>
          <w:bCs w:val="0"/>
          <w:i w:val="0"/>
          <w:iCs w:val="0"/>
          <w:color w:val="auto"/>
        </w:rPr>
        <w:t>request for consent</w:t>
      </w:r>
      <w:r w:rsidR="0073100F">
        <w:rPr>
          <w:rFonts w:asciiTheme="minorHAnsi" w:eastAsiaTheme="minorEastAsia" w:hAnsiTheme="minorHAnsi" w:cstheme="minorBidi"/>
          <w:b w:val="0"/>
          <w:bCs w:val="0"/>
          <w:i w:val="0"/>
          <w:iCs w:val="0"/>
          <w:color w:val="auto"/>
        </w:rPr>
        <w:t xml:space="preserve"> to disclosure</w:t>
      </w:r>
      <w:r w:rsidRPr="00497FB9">
        <w:rPr>
          <w:rFonts w:asciiTheme="minorHAnsi" w:eastAsiaTheme="minorEastAsia" w:hAnsiTheme="minorHAnsi" w:cstheme="minorBidi"/>
          <w:b w:val="0"/>
          <w:bCs w:val="0"/>
          <w:i w:val="0"/>
          <w:iCs w:val="0"/>
          <w:color w:val="auto"/>
        </w:rPr>
        <w:t xml:space="preserve">, whenever relevant. </w:t>
      </w:r>
      <w:r w:rsidR="0073100F">
        <w:rPr>
          <w:rFonts w:asciiTheme="minorHAnsi" w:eastAsiaTheme="minorEastAsia" w:hAnsiTheme="minorHAnsi" w:cstheme="minorBidi"/>
          <w:b w:val="0"/>
          <w:bCs w:val="0"/>
          <w:i w:val="0"/>
          <w:iCs w:val="0"/>
          <w:color w:val="auto"/>
        </w:rPr>
        <w:t>The p</w:t>
      </w:r>
      <w:r w:rsidRPr="00497FB9">
        <w:rPr>
          <w:rFonts w:asciiTheme="minorHAnsi" w:eastAsiaTheme="minorEastAsia" w:hAnsiTheme="minorHAnsi" w:cstheme="minorBidi"/>
          <w:b w:val="0"/>
          <w:bCs w:val="0"/>
          <w:i w:val="0"/>
          <w:iCs w:val="0"/>
          <w:color w:val="auto"/>
        </w:rPr>
        <w:t xml:space="preserve">erformance of service requested is tracked so that payments can be made according to </w:t>
      </w:r>
      <w:r w:rsidR="0046109A">
        <w:rPr>
          <w:rFonts w:asciiTheme="minorHAnsi" w:eastAsiaTheme="minorEastAsia" w:hAnsiTheme="minorHAnsi" w:cstheme="minorBidi"/>
          <w:b w:val="0"/>
          <w:bCs w:val="0"/>
          <w:i w:val="0"/>
          <w:iCs w:val="0"/>
          <w:color w:val="auto"/>
        </w:rPr>
        <w:t xml:space="preserve">the </w:t>
      </w:r>
      <w:r w:rsidRPr="00497FB9">
        <w:rPr>
          <w:rFonts w:asciiTheme="minorHAnsi" w:eastAsiaTheme="minorEastAsia" w:hAnsiTheme="minorHAnsi" w:cstheme="minorBidi"/>
          <w:b w:val="0"/>
          <w:bCs w:val="0"/>
          <w:i w:val="0"/>
          <w:iCs w:val="0"/>
          <w:color w:val="auto"/>
        </w:rPr>
        <w:t>terms and conditions</w:t>
      </w:r>
      <w:r w:rsidR="0046109A">
        <w:rPr>
          <w:rFonts w:asciiTheme="minorHAnsi" w:eastAsiaTheme="minorEastAsia" w:hAnsiTheme="minorHAnsi" w:cstheme="minorBidi"/>
          <w:b w:val="0"/>
          <w:bCs w:val="0"/>
          <w:i w:val="0"/>
          <w:iCs w:val="0"/>
          <w:color w:val="auto"/>
        </w:rPr>
        <w:t xml:space="preserve"> stipulated by contract</w:t>
      </w:r>
      <w:r w:rsidRPr="00497FB9">
        <w:rPr>
          <w:rFonts w:asciiTheme="minorHAnsi" w:eastAsiaTheme="minorEastAsia" w:hAnsiTheme="minorHAnsi" w:cstheme="minorBidi"/>
          <w:b w:val="0"/>
          <w:bCs w:val="0"/>
          <w:i w:val="0"/>
          <w:iCs w:val="0"/>
          <w:color w:val="auto"/>
        </w:rPr>
        <w:t>.</w:t>
      </w:r>
    </w:p>
    <w:p w14:paraId="40937942" w14:textId="29640B34" w:rsidR="005006D5" w:rsidRPr="00BB190B" w:rsidRDefault="005006D5" w:rsidP="00BB190B">
      <w:pPr>
        <w:jc w:val="both"/>
      </w:pPr>
      <w:r w:rsidRPr="00BB190B">
        <w:t xml:space="preserve">In our country, we will use, </w:t>
      </w:r>
      <w:r w:rsidRPr="00BB190B">
        <w:rPr>
          <w:lang w:val="en-US"/>
        </w:rPr>
        <w:t>based upon</w:t>
      </w:r>
      <w:r w:rsidR="00BB190B">
        <w:rPr>
          <w:lang w:val="en-US"/>
        </w:rPr>
        <w:t xml:space="preserve"> local industry</w:t>
      </w:r>
      <w:r w:rsidRPr="00BB190B">
        <w:t xml:space="preserve">, </w:t>
      </w:r>
      <w:r w:rsidRPr="00BB190B">
        <w:rPr>
          <w:lang w:val="en-US"/>
        </w:rPr>
        <w:t xml:space="preserve">the date of service provision </w:t>
      </w:r>
      <w:r w:rsidRPr="00BB190B">
        <w:t>as basis for the recognition of the respective Transfer of Value.</w:t>
      </w:r>
    </w:p>
    <w:p w14:paraId="71BEB12E" w14:textId="0BDE7FEC" w:rsidR="00FE1663" w:rsidRPr="00BB190B" w:rsidRDefault="00FE1663" w:rsidP="00BB190B">
      <w:pPr>
        <w:jc w:val="both"/>
        <w:rPr>
          <w:i/>
        </w:rPr>
      </w:pPr>
      <w:r w:rsidRPr="00BB190B">
        <w:rPr>
          <w:i/>
        </w:rPr>
        <w:t xml:space="preserve">By the “date of service provision”, we mean the date when the service was effectively rendered and delivered, which means, for example, </w:t>
      </w:r>
      <w:r w:rsidR="009379FF" w:rsidRPr="00BB190B">
        <w:rPr>
          <w:i/>
        </w:rPr>
        <w:t xml:space="preserve">that </w:t>
      </w:r>
      <w:r w:rsidRPr="00BB190B">
        <w:rPr>
          <w:i/>
        </w:rPr>
        <w:t>when a HCP participated in an Advisory Board Meeting, then the date when the Advisory Board effectively took place will be the date used for collecting all associated Transfers of Value (e.g. fees for services, travel cost), and the relevant information and data will be disclosed accordingly, even if some reimbursements will actually take place at a later stage.</w:t>
      </w:r>
    </w:p>
    <w:p w14:paraId="214CD6EF" w14:textId="050421DD" w:rsidR="00C250A7" w:rsidRPr="00BB190B" w:rsidRDefault="00C250A7" w:rsidP="00BB190B">
      <w:pPr>
        <w:jc w:val="both"/>
        <w:rPr>
          <w:i/>
          <w:lang w:val="en-US"/>
        </w:rPr>
      </w:pPr>
    </w:p>
    <w:p w14:paraId="481D8982" w14:textId="4601B18A" w:rsidR="00A84962" w:rsidRPr="00BB190B" w:rsidRDefault="00A84962" w:rsidP="00BB190B">
      <w:pPr>
        <w:jc w:val="both"/>
      </w:pPr>
      <w:r w:rsidRPr="00BB190B">
        <w:rPr>
          <w:lang w:val="en-US"/>
        </w:rPr>
        <w:t>With regard to the cut-off rule we have established</w:t>
      </w:r>
      <w:r w:rsidR="009379FF" w:rsidRPr="00BB190B">
        <w:rPr>
          <w:lang w:val="en-US"/>
        </w:rPr>
        <w:t>,</w:t>
      </w:r>
      <w:r w:rsidRPr="00BB190B">
        <w:rPr>
          <w:lang w:val="en-US"/>
        </w:rPr>
        <w:t xml:space="preserve"> the following shall apply:</w:t>
      </w:r>
    </w:p>
    <w:p w14:paraId="1CEEA935" w14:textId="4724F650" w:rsidR="003E2EB7" w:rsidRPr="00BB190B" w:rsidRDefault="003E2EB7" w:rsidP="00BB190B">
      <w:pPr>
        <w:jc w:val="both"/>
      </w:pPr>
      <w:r w:rsidRPr="00BB190B">
        <w:rPr>
          <w:lang w:val="en-US"/>
        </w:rPr>
        <w:t>If the date of service provision has taken place between January 1</w:t>
      </w:r>
      <w:r w:rsidRPr="00BB190B">
        <w:rPr>
          <w:vertAlign w:val="superscript"/>
          <w:lang w:val="en-US"/>
        </w:rPr>
        <w:t>st</w:t>
      </w:r>
      <w:r w:rsidRPr="00BB190B">
        <w:rPr>
          <w:lang w:val="en-US"/>
        </w:rPr>
        <w:t xml:space="preserve"> and December </w:t>
      </w:r>
      <w:proofErr w:type="gramStart"/>
      <w:r w:rsidRPr="00BB190B">
        <w:rPr>
          <w:lang w:val="en-US"/>
        </w:rPr>
        <w:t>31</w:t>
      </w:r>
      <w:r w:rsidRPr="00BB190B">
        <w:rPr>
          <w:vertAlign w:val="superscript"/>
          <w:lang w:val="en-US"/>
        </w:rPr>
        <w:t>st</w:t>
      </w:r>
      <w:r w:rsidRPr="00BB190B">
        <w:rPr>
          <w:lang w:val="en-US"/>
        </w:rPr>
        <w:t xml:space="preserve">  of</w:t>
      </w:r>
      <w:proofErr w:type="gramEnd"/>
      <w:r w:rsidRPr="00BB190B">
        <w:rPr>
          <w:lang w:val="en-US"/>
        </w:rPr>
        <w:t xml:space="preserve"> the year 201</w:t>
      </w:r>
      <w:r w:rsidR="00145D80">
        <w:rPr>
          <w:lang w:val="en-US"/>
        </w:rPr>
        <w:t>6</w:t>
      </w:r>
      <w:r w:rsidRPr="00BB190B">
        <w:rPr>
          <w:lang w:val="en-US"/>
        </w:rPr>
        <w:t xml:space="preserve">, </w:t>
      </w:r>
      <w:r w:rsidRPr="00BB190B">
        <w:t xml:space="preserve">the respective Transfer of Value transaction will be in scope for </w:t>
      </w:r>
      <w:r w:rsidRPr="00BB190B">
        <w:rPr>
          <w:lang w:val="en-US"/>
        </w:rPr>
        <w:t>our 201</w:t>
      </w:r>
      <w:r w:rsidR="00145D80">
        <w:rPr>
          <w:lang w:val="en-US"/>
        </w:rPr>
        <w:t>6</w:t>
      </w:r>
      <w:r w:rsidRPr="00BB190B">
        <w:rPr>
          <w:lang w:val="en-US"/>
        </w:rPr>
        <w:t xml:space="preserve"> disclosure report</w:t>
      </w:r>
      <w:r w:rsidRPr="00BB190B">
        <w:t>.</w:t>
      </w:r>
    </w:p>
    <w:p w14:paraId="0C3A32D9" w14:textId="38662EBB" w:rsidR="00D50C9A" w:rsidRPr="00BB190B" w:rsidRDefault="00E07F08" w:rsidP="00BB190B">
      <w:pPr>
        <w:jc w:val="both"/>
        <w:rPr>
          <w:lang w:val="en-US"/>
        </w:rPr>
      </w:pPr>
      <w:r w:rsidRPr="00BB190B">
        <w:rPr>
          <w:lang w:val="en-US"/>
        </w:rPr>
        <w:t>In addition, disclosure of Transfers of Value for a particular activity or service may also be done o</w:t>
      </w:r>
      <w:r w:rsidR="005B7C18" w:rsidRPr="00BB190B">
        <w:rPr>
          <w:lang w:val="en-US"/>
        </w:rPr>
        <w:t>ve</w:t>
      </w:r>
      <w:r w:rsidRPr="00BB190B">
        <w:rPr>
          <w:lang w:val="en-US"/>
        </w:rPr>
        <w:t>r a period of more than one year, taking into account those points in time or dates when</w:t>
      </w:r>
      <w:r w:rsidR="005B7C18" w:rsidRPr="00BB190B">
        <w:rPr>
          <w:lang w:val="en-US"/>
        </w:rPr>
        <w:t xml:space="preserve"> the corresponding payments are effectively being made.</w:t>
      </w:r>
    </w:p>
    <w:p w14:paraId="2DD399D0" w14:textId="431B910D" w:rsidR="002E1229" w:rsidRPr="00BB190B" w:rsidRDefault="00545024" w:rsidP="00BB190B">
      <w:pPr>
        <w:pStyle w:val="Heading2"/>
        <w:ind w:left="567" w:hanging="567"/>
        <w:jc w:val="both"/>
        <w:rPr>
          <w:rFonts w:asciiTheme="minorHAnsi" w:hAnsiTheme="minorHAnsi"/>
          <w:lang w:val="en-US"/>
        </w:rPr>
      </w:pPr>
      <w:bookmarkStart w:id="31" w:name="_Toc454265285"/>
      <w:r w:rsidRPr="00BB190B">
        <w:rPr>
          <w:rFonts w:asciiTheme="minorHAnsi" w:hAnsiTheme="minorHAnsi"/>
          <w:lang w:val="en-US"/>
        </w:rPr>
        <w:t xml:space="preserve">4.2 </w:t>
      </w:r>
      <w:bookmarkStart w:id="32" w:name="_Toc311393077"/>
      <w:bookmarkStart w:id="33" w:name="_Toc313556002"/>
      <w:bookmarkStart w:id="34" w:name="_Toc310773583"/>
      <w:r w:rsidR="0088160D" w:rsidRPr="00BB190B">
        <w:rPr>
          <w:rFonts w:asciiTheme="minorHAnsi" w:hAnsiTheme="minorHAnsi"/>
          <w:lang w:val="en-US"/>
        </w:rPr>
        <w:t>Currency</w:t>
      </w:r>
      <w:bookmarkEnd w:id="31"/>
    </w:p>
    <w:p w14:paraId="414ECD59" w14:textId="7E90027D" w:rsidR="005B7C18" w:rsidRDefault="005B7C18" w:rsidP="00BB190B">
      <w:pPr>
        <w:jc w:val="both"/>
      </w:pPr>
      <w:r w:rsidRPr="00BB190B">
        <w:t>Takeda Pharma Vertrieb GmbH &amp; Co. KG has adopted the currency EUR (euro) for the disclosure report,</w:t>
      </w:r>
      <w:r>
        <w:t xml:space="preserve"> as this is - at the point of the disclosure- the official national currency.  </w:t>
      </w:r>
      <w:r w:rsidRPr="00724A0F">
        <w:t xml:space="preserve">In </w:t>
      </w:r>
      <w:r>
        <w:t xml:space="preserve">the </w:t>
      </w:r>
      <w:r w:rsidRPr="00724A0F">
        <w:t xml:space="preserve">case a </w:t>
      </w:r>
      <w:r>
        <w:t>T</w:t>
      </w:r>
      <w:r w:rsidRPr="00724A0F">
        <w:t xml:space="preserve">ransfer </w:t>
      </w:r>
      <w:r>
        <w:t>o</w:t>
      </w:r>
      <w:r w:rsidRPr="00724A0F">
        <w:t xml:space="preserve">f </w:t>
      </w:r>
      <w:r>
        <w:t>V</w:t>
      </w:r>
      <w:r w:rsidRPr="00724A0F">
        <w:t xml:space="preserve">alue </w:t>
      </w:r>
      <w:r>
        <w:t xml:space="preserve">is </w:t>
      </w:r>
      <w:r w:rsidRPr="00724A0F">
        <w:t xml:space="preserve">made in </w:t>
      </w:r>
      <w:r>
        <w:t xml:space="preserve">a </w:t>
      </w:r>
      <w:r w:rsidRPr="00724A0F">
        <w:t xml:space="preserve">currency </w:t>
      </w:r>
      <w:r>
        <w:t xml:space="preserve">other </w:t>
      </w:r>
      <w:r w:rsidRPr="00724A0F">
        <w:t xml:space="preserve">than the </w:t>
      </w:r>
      <w:r>
        <w:t>official one,</w:t>
      </w:r>
      <w:r w:rsidRPr="00724A0F">
        <w:t xml:space="preserve"> the amount </w:t>
      </w:r>
      <w:r w:rsidR="00DA5F17">
        <w:t>will be</w:t>
      </w:r>
      <w:r w:rsidRPr="00724A0F">
        <w:t xml:space="preserve"> converted using</w:t>
      </w:r>
      <w:r>
        <w:t xml:space="preserve"> the current exchange rates</w:t>
      </w:r>
      <w:r w:rsidR="00DA5F17">
        <w:t xml:space="preserve"> that are applicable at the time of service provision</w:t>
      </w:r>
      <w:r w:rsidRPr="00045740">
        <w:t>.</w:t>
      </w:r>
      <w:r>
        <w:t xml:space="preserve"> </w:t>
      </w:r>
    </w:p>
    <w:bookmarkEnd w:id="32"/>
    <w:bookmarkEnd w:id="33"/>
    <w:p w14:paraId="1047D44C" w14:textId="3B40DDA6" w:rsidR="00DF1369" w:rsidRDefault="00DF1369" w:rsidP="00BB190B">
      <w:pPr>
        <w:ind w:left="596"/>
        <w:jc w:val="both"/>
      </w:pPr>
      <w:r>
        <w:t>An example of</w:t>
      </w:r>
      <w:r w:rsidRPr="00724A0F">
        <w:t xml:space="preserve"> </w:t>
      </w:r>
      <w:r w:rsidR="00DA5F17">
        <w:t xml:space="preserve">a </w:t>
      </w:r>
      <w:r>
        <w:t>T</w:t>
      </w:r>
      <w:r w:rsidRPr="00724A0F">
        <w:t xml:space="preserve">ransfer </w:t>
      </w:r>
      <w:r>
        <w:t>o</w:t>
      </w:r>
      <w:r w:rsidRPr="00724A0F">
        <w:t xml:space="preserve">f </w:t>
      </w:r>
      <w:r>
        <w:t>V</w:t>
      </w:r>
      <w:r w:rsidRPr="00724A0F">
        <w:t xml:space="preserve">alue made </w:t>
      </w:r>
      <w:r>
        <w:t>in</w:t>
      </w:r>
      <w:r w:rsidRPr="00724A0F">
        <w:t xml:space="preserve"> </w:t>
      </w:r>
      <w:r>
        <w:t xml:space="preserve">a foreign </w:t>
      </w:r>
      <w:r w:rsidRPr="00724A0F">
        <w:t xml:space="preserve">currency </w:t>
      </w:r>
      <w:r>
        <w:t xml:space="preserve">would be when travel costs </w:t>
      </w:r>
      <w:r w:rsidR="0043162D">
        <w:t xml:space="preserve">have incurred by a HCP </w:t>
      </w:r>
      <w:r>
        <w:t>in a foreign country where he/she deliver</w:t>
      </w:r>
      <w:r w:rsidR="0043162D">
        <w:t xml:space="preserve">s his/her </w:t>
      </w:r>
      <w:r>
        <w:t>service and we are reimbursing his</w:t>
      </w:r>
      <w:r w:rsidR="0043162D">
        <w:t>/her</w:t>
      </w:r>
      <w:r>
        <w:t xml:space="preserve"> transportation expenses. </w:t>
      </w:r>
    </w:p>
    <w:p w14:paraId="41D90EFF" w14:textId="511E5A5F" w:rsidR="00F25C53" w:rsidRPr="00614924" w:rsidRDefault="00F25C53" w:rsidP="00BB190B">
      <w:pPr>
        <w:ind w:left="596"/>
        <w:jc w:val="both"/>
        <w:rPr>
          <w:lang w:val="en-US"/>
        </w:rPr>
      </w:pPr>
    </w:p>
    <w:p w14:paraId="21387DCF" w14:textId="47519F5D" w:rsidR="00F25C53" w:rsidRPr="00614924" w:rsidRDefault="001D0A61" w:rsidP="00BB190B">
      <w:pPr>
        <w:pStyle w:val="Heading2"/>
        <w:ind w:left="567" w:hanging="567"/>
        <w:jc w:val="both"/>
        <w:rPr>
          <w:rFonts w:asciiTheme="minorHAnsi" w:hAnsiTheme="minorHAnsi"/>
          <w:lang w:val="en-US"/>
        </w:rPr>
      </w:pPr>
      <w:bookmarkStart w:id="35" w:name="_Toc454265286"/>
      <w:r w:rsidRPr="00614924">
        <w:rPr>
          <w:rFonts w:asciiTheme="minorHAnsi" w:hAnsiTheme="minorHAnsi"/>
          <w:lang w:val="en-US"/>
        </w:rPr>
        <w:t xml:space="preserve">4.3 </w:t>
      </w:r>
      <w:r w:rsidR="0088160D" w:rsidRPr="00614924">
        <w:rPr>
          <w:rFonts w:asciiTheme="minorHAnsi" w:hAnsiTheme="minorHAnsi"/>
          <w:lang w:val="en-US"/>
        </w:rPr>
        <w:t>Taxes</w:t>
      </w:r>
      <w:bookmarkEnd w:id="35"/>
    </w:p>
    <w:p w14:paraId="73292E91" w14:textId="177F07C3" w:rsidR="007E4221" w:rsidRPr="00614924" w:rsidRDefault="00DA5F17" w:rsidP="00BB190B">
      <w:pPr>
        <w:jc w:val="both"/>
        <w:rPr>
          <w:lang w:val="en-US"/>
        </w:rPr>
      </w:pPr>
      <w:r w:rsidRPr="00BB190B">
        <w:rPr>
          <w:lang w:val="en-US"/>
        </w:rPr>
        <w:t>Any f</w:t>
      </w:r>
      <w:r w:rsidR="00C1059D" w:rsidRPr="00BB190B">
        <w:t>ees being paid are subject to taxes.  The amounts captured in our report are net amount</w:t>
      </w:r>
      <w:r w:rsidRPr="00BB190B">
        <w:t>s</w:t>
      </w:r>
      <w:r w:rsidR="00C1059D" w:rsidRPr="00BB190B">
        <w:t xml:space="preserve"> which do not include VAT. However, these amount</w:t>
      </w:r>
      <w:r w:rsidRPr="00BB190B">
        <w:t>s</w:t>
      </w:r>
      <w:r w:rsidR="00C1059D" w:rsidRPr="00BB190B">
        <w:t xml:space="preserve"> are subject to income tax to be paid by the person in receipt of the benefit.</w:t>
      </w:r>
    </w:p>
    <w:p w14:paraId="60301808" w14:textId="66590DF8" w:rsidR="00362C42" w:rsidRPr="00BB190B" w:rsidRDefault="00BC3190" w:rsidP="00BB190B">
      <w:pPr>
        <w:pStyle w:val="Heading2"/>
        <w:ind w:left="567" w:hanging="567"/>
        <w:jc w:val="both"/>
        <w:rPr>
          <w:rFonts w:asciiTheme="minorHAnsi" w:hAnsiTheme="minorHAnsi"/>
          <w:lang w:val="en-US"/>
        </w:rPr>
      </w:pPr>
      <w:bookmarkStart w:id="36" w:name="_Toc454265287"/>
      <w:r w:rsidRPr="00BB190B">
        <w:rPr>
          <w:rFonts w:asciiTheme="minorHAnsi" w:hAnsiTheme="minorHAnsi"/>
          <w:lang w:val="en-US"/>
        </w:rPr>
        <w:lastRenderedPageBreak/>
        <w:t>4.</w:t>
      </w:r>
      <w:r w:rsidR="002D4FBA" w:rsidRPr="00BB190B">
        <w:rPr>
          <w:rFonts w:asciiTheme="minorHAnsi" w:hAnsiTheme="minorHAnsi"/>
          <w:lang w:val="en-US"/>
        </w:rPr>
        <w:t>4</w:t>
      </w:r>
      <w:r w:rsidR="00604832" w:rsidRPr="00BB190B">
        <w:rPr>
          <w:rFonts w:asciiTheme="minorHAnsi" w:hAnsiTheme="minorHAnsi"/>
          <w:lang w:val="en-US"/>
        </w:rPr>
        <w:t xml:space="preserve"> </w:t>
      </w:r>
      <w:r w:rsidR="0088160D" w:rsidRPr="00BB190B">
        <w:rPr>
          <w:rFonts w:asciiTheme="minorHAnsi" w:hAnsiTheme="minorHAnsi"/>
          <w:lang w:val="en-US"/>
        </w:rPr>
        <w:t>Value-Added Tax (VAT)</w:t>
      </w:r>
      <w:bookmarkEnd w:id="36"/>
    </w:p>
    <w:p w14:paraId="10992FFD" w14:textId="0179E1E0" w:rsidR="00C1059D" w:rsidRPr="00BB190B" w:rsidRDefault="00C1059D" w:rsidP="00BB190B">
      <w:pPr>
        <w:jc w:val="both"/>
      </w:pPr>
      <w:r w:rsidRPr="00BB190B">
        <w:rPr>
          <w:lang w:val="en-US"/>
        </w:rPr>
        <w:t>Any e</w:t>
      </w:r>
      <w:r w:rsidRPr="00BB190B">
        <w:t>xpenses such as travel or accommodation costs are subject to VAT.  The data captured and disclosed do not include VAT.</w:t>
      </w:r>
    </w:p>
    <w:p w14:paraId="3DFA7C70" w14:textId="77FBABDD" w:rsidR="001D0A61" w:rsidRPr="00BB190B" w:rsidRDefault="00545024" w:rsidP="00BB190B">
      <w:pPr>
        <w:pStyle w:val="Heading2"/>
        <w:ind w:left="567" w:hanging="567"/>
        <w:jc w:val="both"/>
        <w:rPr>
          <w:rFonts w:asciiTheme="minorHAnsi" w:hAnsiTheme="minorHAnsi"/>
          <w:color w:val="365F91" w:themeColor="accent1" w:themeShade="BF"/>
          <w:sz w:val="28"/>
          <w:szCs w:val="28"/>
          <w:lang w:val="en-US"/>
        </w:rPr>
      </w:pPr>
      <w:bookmarkStart w:id="37" w:name="_Toc453080766"/>
      <w:bookmarkStart w:id="38" w:name="_Toc454265288"/>
      <w:r w:rsidRPr="00BB190B">
        <w:rPr>
          <w:rFonts w:asciiTheme="minorHAnsi" w:hAnsiTheme="minorHAnsi"/>
          <w:color w:val="365F91" w:themeColor="accent1" w:themeShade="BF"/>
          <w:sz w:val="28"/>
          <w:szCs w:val="28"/>
          <w:lang w:val="en-US"/>
        </w:rPr>
        <w:t xml:space="preserve">5. </w:t>
      </w:r>
      <w:r w:rsidR="00C1059D" w:rsidRPr="00BB190B">
        <w:rPr>
          <w:rFonts w:asciiTheme="minorHAnsi" w:hAnsiTheme="minorHAnsi"/>
          <w:color w:val="365F91" w:themeColor="accent1" w:themeShade="BF"/>
          <w:sz w:val="28"/>
          <w:szCs w:val="28"/>
          <w:lang w:val="en-US"/>
        </w:rPr>
        <w:t>Other General Provisio</w:t>
      </w:r>
      <w:r w:rsidR="001D0A61" w:rsidRPr="00BB190B">
        <w:rPr>
          <w:rFonts w:asciiTheme="minorHAnsi" w:hAnsiTheme="minorHAnsi"/>
          <w:color w:val="365F91" w:themeColor="accent1" w:themeShade="BF"/>
          <w:sz w:val="28"/>
          <w:szCs w:val="28"/>
          <w:lang w:val="en-US"/>
        </w:rPr>
        <w:t>n</w:t>
      </w:r>
      <w:bookmarkEnd w:id="37"/>
      <w:r w:rsidR="00C1059D" w:rsidRPr="00BB190B">
        <w:rPr>
          <w:rFonts w:asciiTheme="minorHAnsi" w:hAnsiTheme="minorHAnsi"/>
          <w:color w:val="365F91" w:themeColor="accent1" w:themeShade="BF"/>
          <w:sz w:val="28"/>
          <w:szCs w:val="28"/>
          <w:lang w:val="en-US"/>
        </w:rPr>
        <w:t>s</w:t>
      </w:r>
      <w:bookmarkEnd w:id="38"/>
      <w:r w:rsidR="001D0A61" w:rsidRPr="00BB190B">
        <w:rPr>
          <w:rFonts w:asciiTheme="minorHAnsi" w:hAnsiTheme="minorHAnsi"/>
          <w:color w:val="365F91" w:themeColor="accent1" w:themeShade="BF"/>
          <w:sz w:val="28"/>
          <w:szCs w:val="28"/>
          <w:lang w:val="en-US"/>
        </w:rPr>
        <w:t xml:space="preserve"> </w:t>
      </w:r>
    </w:p>
    <w:p w14:paraId="5039C6B6" w14:textId="0CFD291C" w:rsidR="001D0A61" w:rsidRPr="00BB190B" w:rsidRDefault="00C1059D" w:rsidP="00BB190B">
      <w:pPr>
        <w:pStyle w:val="Heading2"/>
        <w:jc w:val="both"/>
        <w:rPr>
          <w:rFonts w:asciiTheme="minorHAnsi" w:eastAsiaTheme="minorEastAsia" w:hAnsiTheme="minorHAnsi" w:cstheme="minorBidi"/>
          <w:b w:val="0"/>
          <w:bCs w:val="0"/>
          <w:color w:val="auto"/>
          <w:sz w:val="22"/>
          <w:szCs w:val="22"/>
          <w:lang w:val="en-US"/>
        </w:rPr>
      </w:pPr>
      <w:bookmarkStart w:id="39" w:name="_Toc454265289"/>
      <w:r w:rsidRPr="00BB190B">
        <w:rPr>
          <w:rFonts w:asciiTheme="minorHAnsi" w:eastAsiaTheme="minorEastAsia" w:hAnsiTheme="minorHAnsi" w:cstheme="minorBidi"/>
          <w:b w:val="0"/>
          <w:bCs w:val="0"/>
          <w:color w:val="auto"/>
          <w:sz w:val="22"/>
          <w:szCs w:val="22"/>
          <w:lang w:val="en-US"/>
        </w:rPr>
        <w:t xml:space="preserve">This Methodological Note </w:t>
      </w:r>
      <w:r w:rsidR="00022B33" w:rsidRPr="00BB190B">
        <w:rPr>
          <w:rFonts w:asciiTheme="minorHAnsi" w:eastAsiaTheme="minorEastAsia" w:hAnsiTheme="minorHAnsi" w:cstheme="minorBidi"/>
          <w:b w:val="0"/>
          <w:bCs w:val="0"/>
          <w:color w:val="auto"/>
          <w:sz w:val="22"/>
          <w:szCs w:val="22"/>
          <w:lang w:val="en-US"/>
        </w:rPr>
        <w:t xml:space="preserve">is in line with the basic principles of FSA, which can be found at </w:t>
      </w:r>
      <w:hyperlink r:id="rId15" w:history="1">
        <w:r w:rsidR="00022B33" w:rsidRPr="00BB190B">
          <w:rPr>
            <w:rStyle w:val="Hyperlink"/>
            <w:rFonts w:asciiTheme="minorHAnsi" w:eastAsiaTheme="minorEastAsia" w:hAnsiTheme="minorHAnsi" w:cstheme="minorBidi"/>
            <w:b w:val="0"/>
            <w:bCs w:val="0"/>
            <w:sz w:val="22"/>
            <w:szCs w:val="22"/>
            <w:lang w:val="en-US"/>
          </w:rPr>
          <w:t>www.pharma-transparenz.de</w:t>
        </w:r>
      </w:hyperlink>
      <w:r w:rsidR="00022B33" w:rsidRPr="00BB190B">
        <w:rPr>
          <w:rFonts w:asciiTheme="minorHAnsi" w:eastAsiaTheme="minorEastAsia" w:hAnsiTheme="minorHAnsi" w:cstheme="minorBidi"/>
          <w:b w:val="0"/>
          <w:bCs w:val="0"/>
          <w:color w:val="auto"/>
          <w:sz w:val="22"/>
          <w:szCs w:val="22"/>
          <w:lang w:val="en-US"/>
        </w:rPr>
        <w:t>.</w:t>
      </w:r>
      <w:bookmarkEnd w:id="39"/>
      <w:r w:rsidR="00022B33" w:rsidRPr="00BB190B">
        <w:rPr>
          <w:rFonts w:asciiTheme="minorHAnsi" w:eastAsiaTheme="minorEastAsia" w:hAnsiTheme="minorHAnsi" w:cstheme="minorBidi"/>
          <w:b w:val="0"/>
          <w:bCs w:val="0"/>
          <w:color w:val="auto"/>
          <w:sz w:val="22"/>
          <w:szCs w:val="22"/>
          <w:lang w:val="en-US"/>
        </w:rPr>
        <w:t xml:space="preserve"> </w:t>
      </w:r>
    </w:p>
    <w:p w14:paraId="69E8CF9C" w14:textId="002DD646" w:rsidR="001D0A61" w:rsidRPr="00BB190B" w:rsidRDefault="001D0A61" w:rsidP="00BB190B">
      <w:pPr>
        <w:pStyle w:val="Heading2"/>
        <w:ind w:left="567" w:hanging="567"/>
        <w:jc w:val="both"/>
        <w:rPr>
          <w:rFonts w:asciiTheme="minorHAnsi" w:hAnsiTheme="minorHAnsi"/>
          <w:lang w:val="en-US"/>
        </w:rPr>
      </w:pPr>
      <w:bookmarkStart w:id="40" w:name="_Toc454265290"/>
      <w:r w:rsidRPr="00BB190B">
        <w:rPr>
          <w:rFonts w:asciiTheme="minorHAnsi" w:hAnsiTheme="minorHAnsi"/>
          <w:lang w:val="en-US"/>
        </w:rPr>
        <w:t xml:space="preserve">5.1 </w:t>
      </w:r>
      <w:r w:rsidR="00022B33" w:rsidRPr="00BB190B">
        <w:rPr>
          <w:rFonts w:asciiTheme="minorHAnsi" w:hAnsiTheme="minorHAnsi"/>
          <w:lang w:val="en-US"/>
        </w:rPr>
        <w:t>Duration of Disclosure</w:t>
      </w:r>
      <w:bookmarkEnd w:id="40"/>
    </w:p>
    <w:p w14:paraId="6180A3C4" w14:textId="7C030B43" w:rsidR="001D0A61" w:rsidRPr="00BB190B" w:rsidRDefault="00022B33" w:rsidP="00BB190B">
      <w:pPr>
        <w:jc w:val="both"/>
        <w:rPr>
          <w:lang w:val="en-US"/>
        </w:rPr>
      </w:pPr>
      <w:r w:rsidRPr="00BB190B">
        <w:rPr>
          <w:lang w:val="en-US"/>
        </w:rPr>
        <w:t>As a general rule, the disclosure report on Tran</w:t>
      </w:r>
      <w:r w:rsidR="00145D80">
        <w:rPr>
          <w:lang w:val="en-US"/>
        </w:rPr>
        <w:t>sfers of Value for the year 2016</w:t>
      </w:r>
      <w:r w:rsidRPr="00BB190B">
        <w:rPr>
          <w:lang w:val="en-US"/>
        </w:rPr>
        <w:t xml:space="preserve"> will be accessible on our homepage for </w:t>
      </w:r>
      <w:r w:rsidR="00F87226" w:rsidRPr="00BB190B">
        <w:rPr>
          <w:lang w:val="en-US"/>
        </w:rPr>
        <w:t xml:space="preserve">a period of </w:t>
      </w:r>
      <w:r w:rsidRPr="00BB190B">
        <w:rPr>
          <w:lang w:val="en-US"/>
        </w:rPr>
        <w:t>three years. If a HCP revokes his</w:t>
      </w:r>
      <w:r w:rsidR="00F87226" w:rsidRPr="00BB190B">
        <w:rPr>
          <w:lang w:val="en-US"/>
        </w:rPr>
        <w:t>/her</w:t>
      </w:r>
      <w:r w:rsidRPr="00BB190B">
        <w:rPr>
          <w:lang w:val="en-US"/>
        </w:rPr>
        <w:t xml:space="preserve"> consent to disclosure before </w:t>
      </w:r>
      <w:r w:rsidR="00AE06BB" w:rsidRPr="00BB190B">
        <w:rPr>
          <w:lang w:val="en-US"/>
        </w:rPr>
        <w:t>the expiry of this period, we will adjust our report accordingly</w:t>
      </w:r>
      <w:r w:rsidR="00FB1FAE" w:rsidRPr="00BB190B">
        <w:rPr>
          <w:lang w:val="en-US"/>
        </w:rPr>
        <w:t xml:space="preserve">. </w:t>
      </w:r>
    </w:p>
    <w:p w14:paraId="3819AF53" w14:textId="3355E6EF" w:rsidR="00545024" w:rsidRPr="00BB190B" w:rsidRDefault="001D0A61" w:rsidP="00BB190B">
      <w:pPr>
        <w:pStyle w:val="Heading2"/>
        <w:ind w:left="567" w:hanging="567"/>
        <w:jc w:val="both"/>
        <w:rPr>
          <w:rFonts w:asciiTheme="minorHAnsi" w:hAnsiTheme="minorHAnsi"/>
          <w:lang w:val="en-US"/>
        </w:rPr>
      </w:pPr>
      <w:bookmarkStart w:id="41" w:name="_Toc454265291"/>
      <w:r w:rsidRPr="00BB190B">
        <w:rPr>
          <w:rFonts w:asciiTheme="minorHAnsi" w:hAnsiTheme="minorHAnsi"/>
          <w:lang w:val="en-US"/>
        </w:rPr>
        <w:t xml:space="preserve">5.2 </w:t>
      </w:r>
      <w:r w:rsidR="00593392" w:rsidRPr="00BB190B">
        <w:rPr>
          <w:rFonts w:asciiTheme="minorHAnsi" w:hAnsiTheme="minorHAnsi"/>
          <w:lang w:val="en-US"/>
        </w:rPr>
        <w:t>Clearing Institution / Dispute Resolution Management</w:t>
      </w:r>
      <w:bookmarkEnd w:id="41"/>
    </w:p>
    <w:p w14:paraId="1987471A" w14:textId="4EF62FE0" w:rsidR="00593392" w:rsidRPr="00BB190B" w:rsidRDefault="00593392" w:rsidP="00BB190B">
      <w:pPr>
        <w:pStyle w:val="NormalWeb"/>
        <w:spacing w:before="0" w:beforeAutospacing="0" w:after="200" w:afterAutospacing="0" w:line="276" w:lineRule="auto"/>
        <w:jc w:val="both"/>
        <w:rPr>
          <w:rFonts w:asciiTheme="minorHAnsi" w:eastAsiaTheme="minorEastAsia" w:hAnsiTheme="minorHAnsi" w:cstheme="minorBidi"/>
          <w:sz w:val="22"/>
          <w:szCs w:val="22"/>
          <w:lang w:val="en-US" w:eastAsia="en-US"/>
        </w:rPr>
      </w:pPr>
      <w:r w:rsidRPr="00BB190B">
        <w:rPr>
          <w:rFonts w:asciiTheme="minorHAnsi" w:eastAsiaTheme="minorEastAsia" w:hAnsiTheme="minorHAnsi" w:cstheme="minorBidi"/>
          <w:sz w:val="22"/>
          <w:szCs w:val="22"/>
          <w:lang w:val="en-US" w:eastAsia="en-US"/>
        </w:rPr>
        <w:t xml:space="preserve">Takeda has implemented a clearing institution in case </w:t>
      </w:r>
      <w:r w:rsidR="00B77463" w:rsidRPr="00BB190B">
        <w:rPr>
          <w:rFonts w:asciiTheme="minorHAnsi" w:eastAsiaTheme="minorEastAsia" w:hAnsiTheme="minorHAnsi" w:cstheme="minorBidi"/>
          <w:sz w:val="22"/>
          <w:szCs w:val="22"/>
          <w:lang w:val="en-US" w:eastAsia="en-US"/>
        </w:rPr>
        <w:t>of the occurrence of</w:t>
      </w:r>
      <w:r w:rsidRPr="00BB190B">
        <w:rPr>
          <w:rFonts w:asciiTheme="minorHAnsi" w:eastAsiaTheme="minorEastAsia" w:hAnsiTheme="minorHAnsi" w:cstheme="minorBidi"/>
          <w:sz w:val="22"/>
          <w:szCs w:val="22"/>
          <w:lang w:val="en-US" w:eastAsia="en-US"/>
        </w:rPr>
        <w:t xml:space="preserve">, for instance, any general questions and disagreements as far as any of the reported data and/or any requests for adding or removing </w:t>
      </w:r>
      <w:r w:rsidR="00CB4E03" w:rsidRPr="00BB190B">
        <w:rPr>
          <w:rFonts w:asciiTheme="minorHAnsi" w:eastAsiaTheme="minorEastAsia" w:hAnsiTheme="minorHAnsi" w:cstheme="minorBidi"/>
          <w:sz w:val="22"/>
          <w:szCs w:val="22"/>
          <w:lang w:val="en-US" w:eastAsia="en-US"/>
        </w:rPr>
        <w:t xml:space="preserve">a </w:t>
      </w:r>
      <w:r w:rsidRPr="00BB190B">
        <w:rPr>
          <w:rFonts w:asciiTheme="minorHAnsi" w:eastAsiaTheme="minorEastAsia" w:hAnsiTheme="minorHAnsi" w:cstheme="minorBidi"/>
          <w:sz w:val="22"/>
          <w:szCs w:val="22"/>
          <w:lang w:val="en-US" w:eastAsia="en-US"/>
        </w:rPr>
        <w:t xml:space="preserve">privacy consent </w:t>
      </w:r>
      <w:r w:rsidR="00CB4E03" w:rsidRPr="00BB190B">
        <w:rPr>
          <w:rFonts w:asciiTheme="minorHAnsi" w:eastAsiaTheme="minorEastAsia" w:hAnsiTheme="minorHAnsi" w:cstheme="minorBidi"/>
          <w:sz w:val="22"/>
          <w:szCs w:val="22"/>
          <w:lang w:val="en-US" w:eastAsia="en-US"/>
        </w:rPr>
        <w:t xml:space="preserve">given by a HCP/HCO </w:t>
      </w:r>
      <w:r w:rsidRPr="00BB190B">
        <w:rPr>
          <w:rFonts w:asciiTheme="minorHAnsi" w:eastAsiaTheme="minorEastAsia" w:hAnsiTheme="minorHAnsi" w:cstheme="minorBidi"/>
          <w:sz w:val="22"/>
          <w:szCs w:val="22"/>
          <w:lang w:val="en-US" w:eastAsia="en-US"/>
        </w:rPr>
        <w:t>to disclose data</w:t>
      </w:r>
      <w:r w:rsidR="00CB4E03" w:rsidRPr="00BB190B">
        <w:rPr>
          <w:rFonts w:asciiTheme="minorHAnsi" w:eastAsiaTheme="minorEastAsia" w:hAnsiTheme="minorHAnsi" w:cstheme="minorBidi"/>
          <w:sz w:val="22"/>
          <w:szCs w:val="22"/>
          <w:lang w:val="en-US" w:eastAsia="en-US"/>
        </w:rPr>
        <w:t xml:space="preserve"> are concerned</w:t>
      </w:r>
      <w:r w:rsidR="00B77463" w:rsidRPr="00BB190B">
        <w:rPr>
          <w:rFonts w:asciiTheme="minorHAnsi" w:eastAsiaTheme="minorEastAsia" w:hAnsiTheme="minorHAnsi" w:cstheme="minorBidi"/>
          <w:sz w:val="22"/>
          <w:szCs w:val="22"/>
          <w:lang w:val="en-US" w:eastAsia="en-US"/>
        </w:rPr>
        <w:t xml:space="preserve">; this clearing institution will be available </w:t>
      </w:r>
      <w:r w:rsidR="00FA1B47" w:rsidRPr="00BB190B">
        <w:rPr>
          <w:rFonts w:asciiTheme="minorHAnsi" w:eastAsiaTheme="minorEastAsia" w:hAnsiTheme="minorHAnsi" w:cstheme="minorBidi"/>
          <w:sz w:val="22"/>
          <w:szCs w:val="22"/>
          <w:lang w:val="en-US" w:eastAsia="en-US"/>
        </w:rPr>
        <w:t xml:space="preserve">for handling and clarifying </w:t>
      </w:r>
      <w:r w:rsidR="00B77463" w:rsidRPr="00BB190B">
        <w:rPr>
          <w:rFonts w:asciiTheme="minorHAnsi" w:eastAsiaTheme="minorEastAsia" w:hAnsiTheme="minorHAnsi" w:cstheme="minorBidi"/>
          <w:sz w:val="22"/>
          <w:szCs w:val="22"/>
          <w:lang w:val="en-US" w:eastAsia="en-US"/>
        </w:rPr>
        <w:t>any questions and inconsistencies that may arise</w:t>
      </w:r>
      <w:r w:rsidRPr="00BB190B">
        <w:rPr>
          <w:rFonts w:asciiTheme="minorHAnsi" w:eastAsiaTheme="minorEastAsia" w:hAnsiTheme="minorHAnsi" w:cstheme="minorBidi"/>
          <w:sz w:val="22"/>
          <w:szCs w:val="22"/>
          <w:lang w:val="en-US" w:eastAsia="en-US"/>
        </w:rPr>
        <w:t xml:space="preserve">. </w:t>
      </w:r>
    </w:p>
    <w:p w14:paraId="1912B5B4" w14:textId="05EF46FE" w:rsidR="00CB4E03" w:rsidRPr="00BB190B" w:rsidRDefault="00CB4E03" w:rsidP="00BB190B">
      <w:pPr>
        <w:pStyle w:val="NormalWeb"/>
        <w:spacing w:before="0" w:beforeAutospacing="0" w:after="200" w:afterAutospacing="0" w:line="276" w:lineRule="auto"/>
        <w:jc w:val="both"/>
        <w:rPr>
          <w:rFonts w:asciiTheme="minorHAnsi" w:eastAsiaTheme="minorEastAsia" w:hAnsiTheme="minorHAnsi" w:cstheme="minorBidi"/>
          <w:sz w:val="22"/>
          <w:szCs w:val="22"/>
          <w:lang w:val="en-US" w:eastAsia="en-US"/>
        </w:rPr>
      </w:pPr>
      <w:r w:rsidRPr="00BB190B">
        <w:rPr>
          <w:rFonts w:asciiTheme="minorHAnsi" w:eastAsiaTheme="minorEastAsia" w:hAnsiTheme="minorHAnsi" w:cstheme="minorBidi"/>
          <w:sz w:val="22"/>
          <w:szCs w:val="22"/>
          <w:lang w:val="en-US" w:eastAsia="en-US"/>
        </w:rPr>
        <w:t xml:space="preserve">If you have any comments or questions about Takeda’s mode of processing of specific data and information, about this Methodological Note, about the content of the disclosure or about Takeda’s </w:t>
      </w:r>
      <w:r w:rsidR="00FA1B47" w:rsidRPr="00BB190B">
        <w:rPr>
          <w:rFonts w:asciiTheme="minorHAnsi" w:eastAsiaTheme="minorEastAsia" w:hAnsiTheme="minorHAnsi" w:cstheme="minorBidi"/>
          <w:sz w:val="22"/>
          <w:szCs w:val="22"/>
          <w:lang w:val="en-US" w:eastAsia="en-US"/>
        </w:rPr>
        <w:t xml:space="preserve">internal </w:t>
      </w:r>
      <w:r w:rsidRPr="00BB190B">
        <w:rPr>
          <w:rFonts w:asciiTheme="minorHAnsi" w:eastAsiaTheme="minorEastAsia" w:hAnsiTheme="minorHAnsi" w:cstheme="minorBidi"/>
          <w:sz w:val="22"/>
          <w:szCs w:val="22"/>
          <w:lang w:val="en-US" w:eastAsia="en-US"/>
        </w:rPr>
        <w:t xml:space="preserve">Privacy Policy, please feel free to contact the </w:t>
      </w:r>
      <w:r w:rsidR="00BE213C" w:rsidRPr="00BB190B">
        <w:rPr>
          <w:rFonts w:asciiTheme="minorHAnsi" w:eastAsiaTheme="minorEastAsia" w:hAnsiTheme="minorHAnsi" w:cstheme="minorBidi"/>
          <w:sz w:val="22"/>
          <w:szCs w:val="22"/>
          <w:lang w:val="en-US" w:eastAsia="en-US"/>
        </w:rPr>
        <w:t xml:space="preserve">corresponding persons regarding the FSA Transparency Code </w:t>
      </w:r>
      <w:r w:rsidRPr="00BB190B">
        <w:rPr>
          <w:rFonts w:asciiTheme="minorHAnsi" w:eastAsiaTheme="minorEastAsia" w:hAnsiTheme="minorHAnsi" w:cstheme="minorBidi"/>
          <w:sz w:val="22"/>
          <w:szCs w:val="22"/>
          <w:lang w:val="en-US" w:eastAsia="en-US"/>
        </w:rPr>
        <w:t>Takeda Transparency function</w:t>
      </w:r>
      <w:r w:rsidR="00FA1B47" w:rsidRPr="00BB190B">
        <w:rPr>
          <w:rFonts w:asciiTheme="minorHAnsi" w:eastAsiaTheme="minorEastAsia" w:hAnsiTheme="minorHAnsi" w:cstheme="minorBidi"/>
          <w:sz w:val="22"/>
          <w:szCs w:val="22"/>
          <w:lang w:val="en-US" w:eastAsia="en-US"/>
        </w:rPr>
        <w:t xml:space="preserve"> using the e-mail address</w:t>
      </w:r>
      <w:r w:rsidRPr="00BB190B">
        <w:rPr>
          <w:rFonts w:asciiTheme="minorHAnsi" w:eastAsiaTheme="minorEastAsia" w:hAnsiTheme="minorHAnsi" w:cstheme="minorBidi"/>
          <w:sz w:val="22"/>
          <w:szCs w:val="22"/>
          <w:lang w:val="en-US" w:eastAsia="en-US"/>
        </w:rPr>
        <w:t xml:space="preserve"> “</w:t>
      </w:r>
      <w:r w:rsidR="00BE213C" w:rsidRPr="00BB190B">
        <w:rPr>
          <w:rFonts w:asciiTheme="minorHAnsi" w:eastAsiaTheme="minorEastAsia" w:hAnsiTheme="minorHAnsi" w:cstheme="minorBidi"/>
          <w:sz w:val="22"/>
          <w:szCs w:val="22"/>
          <w:lang w:val="en-US" w:eastAsia="en-US"/>
        </w:rPr>
        <w:t>transparenz@takeda.com</w:t>
      </w:r>
      <w:r w:rsidRPr="00BB190B">
        <w:rPr>
          <w:rFonts w:asciiTheme="minorHAnsi" w:eastAsiaTheme="minorEastAsia" w:hAnsiTheme="minorHAnsi" w:cstheme="minorBidi"/>
          <w:sz w:val="22"/>
          <w:szCs w:val="22"/>
          <w:lang w:val="en-US" w:eastAsia="en-US"/>
        </w:rPr>
        <w:t xml:space="preserve">” or the contact indicated </w:t>
      </w:r>
      <w:r w:rsidR="00BE213C" w:rsidRPr="00BB190B">
        <w:rPr>
          <w:rFonts w:asciiTheme="minorHAnsi" w:eastAsiaTheme="minorEastAsia" w:hAnsiTheme="minorHAnsi" w:cstheme="minorBidi"/>
          <w:sz w:val="22"/>
          <w:szCs w:val="22"/>
          <w:lang w:val="en-US" w:eastAsia="en-US"/>
        </w:rPr>
        <w:t>o</w:t>
      </w:r>
      <w:r w:rsidRPr="00BB190B">
        <w:rPr>
          <w:rFonts w:asciiTheme="minorHAnsi" w:eastAsiaTheme="minorEastAsia" w:hAnsiTheme="minorHAnsi" w:cstheme="minorBidi"/>
          <w:sz w:val="22"/>
          <w:szCs w:val="22"/>
          <w:lang w:val="en-US" w:eastAsia="en-US"/>
        </w:rPr>
        <w:t>n the Takeda website (</w:t>
      </w:r>
      <w:r w:rsidR="00DA5F17" w:rsidRPr="00BB190B">
        <w:rPr>
          <w:rFonts w:asciiTheme="minorHAnsi" w:eastAsiaTheme="minorEastAsia" w:hAnsiTheme="minorHAnsi" w:cstheme="minorBidi"/>
          <w:sz w:val="22"/>
          <w:szCs w:val="22"/>
          <w:lang w:val="en-US" w:eastAsia="en-US"/>
        </w:rPr>
        <w:t>http://www.takeda.de/transparenz</w:t>
      </w:r>
      <w:r w:rsidRPr="00BB190B">
        <w:rPr>
          <w:rFonts w:asciiTheme="minorHAnsi" w:eastAsiaTheme="minorEastAsia" w:hAnsiTheme="minorHAnsi" w:cstheme="minorBidi"/>
          <w:sz w:val="22"/>
          <w:szCs w:val="22"/>
          <w:lang w:val="en-US" w:eastAsia="en-US"/>
        </w:rPr>
        <w:t xml:space="preserve">). </w:t>
      </w:r>
    </w:p>
    <w:p w14:paraId="4EB645CD" w14:textId="13BA606C" w:rsidR="007A2EB0" w:rsidRPr="00614924" w:rsidRDefault="007A2EB0" w:rsidP="007A2EB0">
      <w:pPr>
        <w:pStyle w:val="NormalWeb"/>
        <w:spacing w:before="0" w:beforeAutospacing="0" w:after="200" w:afterAutospacing="0" w:line="276" w:lineRule="auto"/>
        <w:rPr>
          <w:lang w:val="en-US"/>
        </w:rPr>
      </w:pPr>
    </w:p>
    <w:bookmarkEnd w:id="29"/>
    <w:bookmarkEnd w:id="34"/>
    <w:p w14:paraId="045CCE9E" w14:textId="77777777" w:rsidR="007A2EB0" w:rsidRPr="00614924" w:rsidRDefault="007A2EB0" w:rsidP="00F4333C">
      <w:pPr>
        <w:pStyle w:val="ListParagraph"/>
        <w:ind w:left="0"/>
        <w:rPr>
          <w:lang w:val="en-US"/>
        </w:rPr>
      </w:pPr>
    </w:p>
    <w:sectPr w:rsidR="007A2EB0" w:rsidRPr="00614924" w:rsidSect="00317DAB">
      <w:headerReference w:type="even" r:id="rId16"/>
      <w:headerReference w:type="default" r:id="rId17"/>
      <w:footerReference w:type="even" r:id="rId18"/>
      <w:footerReference w:type="default" r:id="rId19"/>
      <w:headerReference w:type="first" r:id="rId20"/>
      <w:footerReference w:type="first" r:id="rId21"/>
      <w:pgSz w:w="11900" w:h="16840"/>
      <w:pgMar w:top="1105" w:right="1127" w:bottom="993" w:left="851" w:header="426"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135E8" w14:textId="77777777" w:rsidR="001D7DFA" w:rsidRDefault="001D7DFA" w:rsidP="008F02B9">
      <w:r>
        <w:separator/>
      </w:r>
    </w:p>
  </w:endnote>
  <w:endnote w:type="continuationSeparator" w:id="0">
    <w:p w14:paraId="04BA7295" w14:textId="77777777" w:rsidR="001D7DFA" w:rsidRDefault="001D7DFA" w:rsidP="008F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A868" w14:textId="77777777" w:rsidR="00D7647C" w:rsidRDefault="00D76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7D006" w14:textId="0F3A04E7" w:rsidR="00E07F08" w:rsidRPr="00C0602C" w:rsidRDefault="00E07F08" w:rsidP="00A76A0C">
    <w:pPr>
      <w:pStyle w:val="Footer"/>
      <w:pBdr>
        <w:top w:val="single" w:sz="4" w:space="1" w:color="auto"/>
      </w:pBdr>
      <w:rPr>
        <w:sz w:val="20"/>
        <w:szCs w:val="20"/>
      </w:rPr>
    </w:pPr>
    <w:r>
      <w:rPr>
        <w:sz w:val="20"/>
        <w:szCs w:val="20"/>
      </w:rPr>
      <w:t>Page</w:t>
    </w:r>
    <w:r w:rsidRPr="00C0602C">
      <w:rPr>
        <w:sz w:val="20"/>
        <w:szCs w:val="20"/>
      </w:rPr>
      <w:t xml:space="preserve"> </w:t>
    </w:r>
    <w:r w:rsidRPr="00C0602C">
      <w:rPr>
        <w:sz w:val="20"/>
        <w:szCs w:val="20"/>
      </w:rPr>
      <w:fldChar w:fldCharType="begin"/>
    </w:r>
    <w:r w:rsidRPr="00C0602C">
      <w:rPr>
        <w:sz w:val="20"/>
        <w:szCs w:val="20"/>
      </w:rPr>
      <w:instrText xml:space="preserve"> PAGE   \* MERGEFORMAT </w:instrText>
    </w:r>
    <w:r w:rsidRPr="00C0602C">
      <w:rPr>
        <w:sz w:val="20"/>
        <w:szCs w:val="20"/>
      </w:rPr>
      <w:fldChar w:fldCharType="separate"/>
    </w:r>
    <w:r w:rsidR="001F0E45">
      <w:rPr>
        <w:noProof/>
        <w:sz w:val="20"/>
        <w:szCs w:val="20"/>
      </w:rPr>
      <w:t>2</w:t>
    </w:r>
    <w:r w:rsidRPr="00C0602C">
      <w:rPr>
        <w:noProof/>
        <w:sz w:val="20"/>
        <w:szCs w:val="20"/>
      </w:rPr>
      <w:fldChar w:fldCharType="end"/>
    </w:r>
    <w:r>
      <w:rPr>
        <w:noProof/>
        <w:sz w:val="20"/>
        <w:szCs w:val="20"/>
      </w:rPr>
      <w:t xml:space="preserve"> of </w:t>
    </w:r>
    <w:r w:rsidR="00DA5F17">
      <w:rPr>
        <w:noProof/>
        <w:sz w:val="20"/>
        <w:szCs w:val="20"/>
      </w:rPr>
      <w:t>9</w:t>
    </w:r>
    <w:r w:rsidRPr="00C0602C">
      <w:rPr>
        <w:sz w:val="20"/>
        <w:szCs w:val="20"/>
      </w:rPr>
      <w:t xml:space="preserve"> </w:t>
    </w:r>
  </w:p>
  <w:p w14:paraId="7B4D00D7" w14:textId="6450599D" w:rsidR="00E07F08" w:rsidRDefault="00E07F08" w:rsidP="00170718">
    <w:pPr>
      <w:autoSpaceDE w:val="0"/>
      <w:autoSpaceDN w:val="0"/>
      <w:adjustRightInd w:val="0"/>
      <w:jc w:val="center"/>
    </w:pPr>
    <w:r w:rsidRPr="005A58D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99D51" w14:textId="77777777" w:rsidR="00D7647C" w:rsidRDefault="00D76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EE286" w14:textId="77777777" w:rsidR="001D7DFA" w:rsidRDefault="001D7DFA" w:rsidP="008F02B9">
      <w:r>
        <w:separator/>
      </w:r>
    </w:p>
  </w:footnote>
  <w:footnote w:type="continuationSeparator" w:id="0">
    <w:p w14:paraId="3871E313" w14:textId="77777777" w:rsidR="001D7DFA" w:rsidRDefault="001D7DFA" w:rsidP="008F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7CF6" w14:textId="77777777" w:rsidR="00D7647C" w:rsidRDefault="00D76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4574" w14:textId="43EF91F9" w:rsidR="00E07F08" w:rsidRPr="00614924" w:rsidRDefault="00E07F08" w:rsidP="00C359FD">
    <w:pPr>
      <w:pStyle w:val="Header"/>
      <w:pBdr>
        <w:bottom w:val="single" w:sz="4" w:space="1" w:color="auto"/>
      </w:pBdr>
      <w:rPr>
        <w:sz w:val="18"/>
        <w:szCs w:val="18"/>
        <w:lang w:val="en-US"/>
      </w:rPr>
    </w:pPr>
    <w:r w:rsidRPr="009C204E">
      <w:rPr>
        <w:noProof/>
        <w:sz w:val="18"/>
        <w:szCs w:val="18"/>
        <w:lang w:val="de-DE" w:eastAsia="de-DE"/>
      </w:rPr>
      <w:drawing>
        <wp:anchor distT="0" distB="0" distL="114300" distR="114300" simplePos="0" relativeHeight="251659264" behindDoc="1" locked="0" layoutInCell="1" allowOverlap="1" wp14:anchorId="10592464" wp14:editId="71A7B6B1">
          <wp:simplePos x="0" y="0"/>
          <wp:positionH relativeFrom="column">
            <wp:posOffset>5549900</wp:posOffset>
          </wp:positionH>
          <wp:positionV relativeFrom="paragraph">
            <wp:posOffset>-109524</wp:posOffset>
          </wp:positionV>
          <wp:extent cx="763325" cy="2562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keda.svg.png"/>
                  <pic:cNvPicPr/>
                </pic:nvPicPr>
                <pic:blipFill>
                  <a:blip r:embed="rId1">
                    <a:extLst>
                      <a:ext uri="{28A0092B-C50C-407E-A947-70E740481C1C}">
                        <a14:useLocalDpi xmlns:a14="http://schemas.microsoft.com/office/drawing/2010/main" val="0"/>
                      </a:ext>
                    </a:extLst>
                  </a:blip>
                  <a:stretch>
                    <a:fillRect/>
                  </a:stretch>
                </pic:blipFill>
                <pic:spPr>
                  <a:xfrm>
                    <a:off x="0" y="0"/>
                    <a:ext cx="763325" cy="256208"/>
                  </a:xfrm>
                  <a:prstGeom prst="rect">
                    <a:avLst/>
                  </a:prstGeom>
                </pic:spPr>
              </pic:pic>
            </a:graphicData>
          </a:graphic>
          <wp14:sizeRelH relativeFrom="page">
            <wp14:pctWidth>0</wp14:pctWidth>
          </wp14:sizeRelH>
          <wp14:sizeRelV relativeFrom="page">
            <wp14:pctHeight>0</wp14:pctHeight>
          </wp14:sizeRelV>
        </wp:anchor>
      </w:drawing>
    </w:r>
    <w:r w:rsidRPr="00614924">
      <w:rPr>
        <w:sz w:val="18"/>
        <w:szCs w:val="18"/>
        <w:lang w:val="en-US"/>
      </w:rPr>
      <w:t>Takeda Pharma Vertrieb GmbH &amp; C</w:t>
    </w:r>
    <w:r w:rsidR="00145D80">
      <w:rPr>
        <w:sz w:val="18"/>
        <w:szCs w:val="18"/>
        <w:lang w:val="en-US"/>
      </w:rPr>
      <w:t xml:space="preserve">o. </w:t>
    </w:r>
    <w:r w:rsidR="00145D80">
      <w:rPr>
        <w:sz w:val="18"/>
        <w:szCs w:val="18"/>
        <w:lang w:val="en-US"/>
      </w:rPr>
      <w:t>KG - Methodol</w:t>
    </w:r>
    <w:r w:rsidR="00D7647C">
      <w:rPr>
        <w:sz w:val="18"/>
        <w:szCs w:val="18"/>
        <w:lang w:val="en-US"/>
      </w:rPr>
      <w:t xml:space="preserve">ogical Note 2016 (Issue Date: </w:t>
    </w:r>
    <w:r w:rsidR="00D7647C">
      <w:rPr>
        <w:sz w:val="18"/>
        <w:szCs w:val="18"/>
        <w:lang w:val="en-US"/>
      </w:rPr>
      <w:t>28</w:t>
    </w:r>
    <w:bookmarkStart w:id="42" w:name="_GoBack"/>
    <w:bookmarkEnd w:id="42"/>
    <w:r w:rsidR="00145D80">
      <w:rPr>
        <w:sz w:val="18"/>
        <w:szCs w:val="18"/>
        <w:lang w:val="en-US"/>
      </w:rPr>
      <w:t>.06.2017</w:t>
    </w:r>
    <w:r w:rsidRPr="00614924">
      <w:rPr>
        <w:sz w:val="18"/>
        <w:szCs w:val="18"/>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A5D00" w14:textId="77777777" w:rsidR="00D7647C" w:rsidRDefault="00D76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433F6"/>
    <w:multiLevelType w:val="hybridMultilevel"/>
    <w:tmpl w:val="4C303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244B87"/>
    <w:multiLevelType w:val="multilevel"/>
    <w:tmpl w:val="CB5C1A1C"/>
    <w:lvl w:ilvl="0">
      <w:start w:val="1"/>
      <w:numFmt w:val="decimal"/>
      <w:lvlRestart w:val="0"/>
      <w:lvlText w:val="%1"/>
      <w:lvlJc w:val="left"/>
      <w:pPr>
        <w:tabs>
          <w:tab w:val="num" w:pos="936"/>
        </w:tabs>
        <w:ind w:left="936" w:hanging="935"/>
      </w:pPr>
      <w:rPr>
        <w:rFonts w:ascii="Times New Roman" w:hAnsi="Times New Roman" w:cs="Times New Roman" w:hint="default"/>
        <w:b/>
        <w:i w:val="0"/>
        <w:caps w:val="0"/>
        <w:strike w:val="0"/>
        <w:dstrike w:val="0"/>
        <w:vanish w:val="0"/>
        <w:color w:val="auto"/>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19"/>
        </w:tabs>
        <w:ind w:left="1219" w:hanging="935"/>
      </w:pPr>
      <w:rPr>
        <w:rFonts w:ascii="Times New Roman" w:hAnsi="Times New Roman"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35"/>
        </w:tabs>
        <w:ind w:left="935" w:hanging="935"/>
      </w:pPr>
      <w:rPr>
        <w:rFonts w:ascii="Times New Roman" w:hAnsi="Times New Roman" w:cs="Times New Roman" w:hint="default"/>
        <w:b/>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36"/>
        </w:tabs>
        <w:ind w:left="936" w:hanging="935"/>
      </w:pPr>
      <w:rPr>
        <w:rFonts w:ascii="Times New Roman" w:hAnsi="Times New Roman" w:cs="Times New Roman"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389"/>
        </w:tabs>
        <w:ind w:left="1389" w:hanging="453"/>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843"/>
        </w:tabs>
        <w:ind w:left="1843" w:hanging="454"/>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3811"/>
        </w:tabs>
        <w:ind w:left="3811" w:hanging="385"/>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772"/>
        </w:tabs>
        <w:ind w:left="4772" w:hanging="363"/>
      </w:pPr>
      <w:rPr>
        <w:rFonts w:hint="default"/>
      </w:rPr>
    </w:lvl>
    <w:lvl w:ilvl="8">
      <w:start w:val="1"/>
      <w:numFmt w:val="lowerRoman"/>
      <w:lvlText w:val="%9."/>
      <w:lvlJc w:val="left"/>
      <w:pPr>
        <w:tabs>
          <w:tab w:val="num" w:pos="1066"/>
        </w:tabs>
        <w:ind w:left="1066" w:hanging="357"/>
      </w:pPr>
      <w:rPr>
        <w:rFonts w:hint="default"/>
      </w:rPr>
    </w:lvl>
  </w:abstractNum>
  <w:abstractNum w:abstractNumId="3">
    <w:nsid w:val="032D7337"/>
    <w:multiLevelType w:val="hybridMultilevel"/>
    <w:tmpl w:val="FE70C334"/>
    <w:lvl w:ilvl="0" w:tplc="AB824A68">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31FD4"/>
    <w:multiLevelType w:val="hybridMultilevel"/>
    <w:tmpl w:val="D5108630"/>
    <w:lvl w:ilvl="0" w:tplc="9BEC4442">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F0845"/>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804C31"/>
    <w:multiLevelType w:val="hybridMultilevel"/>
    <w:tmpl w:val="C588A036"/>
    <w:lvl w:ilvl="0" w:tplc="0E925FA6">
      <w:start w:val="1"/>
      <w:numFmt w:val="lowerRoman"/>
      <w:lvlText w:val="%1."/>
      <w:lvlJc w:val="left"/>
      <w:pPr>
        <w:ind w:left="934" w:hanging="360"/>
      </w:pPr>
      <w:rPr>
        <w:rFonts w:hint="default"/>
        <w:color w:val="000000" w:themeColor="text1"/>
      </w:rPr>
    </w:lvl>
    <w:lvl w:ilvl="1" w:tplc="080C0019" w:tentative="1">
      <w:start w:val="1"/>
      <w:numFmt w:val="lowerLetter"/>
      <w:lvlText w:val="%2."/>
      <w:lvlJc w:val="left"/>
      <w:pPr>
        <w:ind w:left="1654" w:hanging="360"/>
      </w:pPr>
    </w:lvl>
    <w:lvl w:ilvl="2" w:tplc="080C001B" w:tentative="1">
      <w:start w:val="1"/>
      <w:numFmt w:val="lowerRoman"/>
      <w:lvlText w:val="%3."/>
      <w:lvlJc w:val="right"/>
      <w:pPr>
        <w:ind w:left="2374" w:hanging="180"/>
      </w:pPr>
    </w:lvl>
    <w:lvl w:ilvl="3" w:tplc="080C000F" w:tentative="1">
      <w:start w:val="1"/>
      <w:numFmt w:val="decimal"/>
      <w:lvlText w:val="%4."/>
      <w:lvlJc w:val="left"/>
      <w:pPr>
        <w:ind w:left="3094" w:hanging="360"/>
      </w:pPr>
    </w:lvl>
    <w:lvl w:ilvl="4" w:tplc="080C0019" w:tentative="1">
      <w:start w:val="1"/>
      <w:numFmt w:val="lowerLetter"/>
      <w:lvlText w:val="%5."/>
      <w:lvlJc w:val="left"/>
      <w:pPr>
        <w:ind w:left="3814" w:hanging="360"/>
      </w:pPr>
    </w:lvl>
    <w:lvl w:ilvl="5" w:tplc="080C001B" w:tentative="1">
      <w:start w:val="1"/>
      <w:numFmt w:val="lowerRoman"/>
      <w:lvlText w:val="%6."/>
      <w:lvlJc w:val="right"/>
      <w:pPr>
        <w:ind w:left="4534" w:hanging="180"/>
      </w:pPr>
    </w:lvl>
    <w:lvl w:ilvl="6" w:tplc="080C000F" w:tentative="1">
      <w:start w:val="1"/>
      <w:numFmt w:val="decimal"/>
      <w:lvlText w:val="%7."/>
      <w:lvlJc w:val="left"/>
      <w:pPr>
        <w:ind w:left="5254" w:hanging="360"/>
      </w:pPr>
    </w:lvl>
    <w:lvl w:ilvl="7" w:tplc="080C0019" w:tentative="1">
      <w:start w:val="1"/>
      <w:numFmt w:val="lowerLetter"/>
      <w:lvlText w:val="%8."/>
      <w:lvlJc w:val="left"/>
      <w:pPr>
        <w:ind w:left="5974" w:hanging="360"/>
      </w:pPr>
    </w:lvl>
    <w:lvl w:ilvl="8" w:tplc="080C001B" w:tentative="1">
      <w:start w:val="1"/>
      <w:numFmt w:val="lowerRoman"/>
      <w:lvlText w:val="%9."/>
      <w:lvlJc w:val="right"/>
      <w:pPr>
        <w:ind w:left="6694" w:hanging="180"/>
      </w:pPr>
    </w:lvl>
  </w:abstractNum>
  <w:abstractNum w:abstractNumId="7">
    <w:nsid w:val="118C4D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4563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985E4C"/>
    <w:multiLevelType w:val="hybridMultilevel"/>
    <w:tmpl w:val="CD58328E"/>
    <w:lvl w:ilvl="0" w:tplc="FE3AC2C8">
      <w:start w:val="1"/>
      <w:numFmt w:val="lowerRoman"/>
      <w:lvlText w:val="%1."/>
      <w:lvlJc w:val="left"/>
      <w:pPr>
        <w:ind w:left="720" w:hanging="360"/>
      </w:pPr>
      <w:rPr>
        <w:rFonts w:hint="default"/>
      </w:rPr>
    </w:lvl>
    <w:lvl w:ilvl="1" w:tplc="DC9E2A80">
      <w:start w:val="1"/>
      <w:numFmt w:val="lowerLetter"/>
      <w:lvlText w:val="%2."/>
      <w:lvlJc w:val="left"/>
      <w:pPr>
        <w:ind w:left="1440" w:hanging="360"/>
      </w:pPr>
      <w:rPr>
        <w:lang w:val="de-D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D85830"/>
    <w:multiLevelType w:val="hybridMultilevel"/>
    <w:tmpl w:val="E96C6640"/>
    <w:lvl w:ilvl="0" w:tplc="1EEEE44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10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CB4695"/>
    <w:multiLevelType w:val="hybridMultilevel"/>
    <w:tmpl w:val="C588A036"/>
    <w:lvl w:ilvl="0" w:tplc="0E925FA6">
      <w:start w:val="1"/>
      <w:numFmt w:val="lowerRoman"/>
      <w:lvlText w:val="%1."/>
      <w:lvlJc w:val="left"/>
      <w:pPr>
        <w:ind w:left="934" w:hanging="360"/>
      </w:pPr>
      <w:rPr>
        <w:rFonts w:hint="default"/>
        <w:color w:val="000000" w:themeColor="text1"/>
      </w:rPr>
    </w:lvl>
    <w:lvl w:ilvl="1" w:tplc="080C0019">
      <w:start w:val="1"/>
      <w:numFmt w:val="lowerLetter"/>
      <w:lvlText w:val="%2."/>
      <w:lvlJc w:val="left"/>
      <w:pPr>
        <w:ind w:left="1654" w:hanging="360"/>
      </w:pPr>
    </w:lvl>
    <w:lvl w:ilvl="2" w:tplc="080C001B" w:tentative="1">
      <w:start w:val="1"/>
      <w:numFmt w:val="lowerRoman"/>
      <w:lvlText w:val="%3."/>
      <w:lvlJc w:val="right"/>
      <w:pPr>
        <w:ind w:left="2374" w:hanging="180"/>
      </w:pPr>
    </w:lvl>
    <w:lvl w:ilvl="3" w:tplc="080C000F" w:tentative="1">
      <w:start w:val="1"/>
      <w:numFmt w:val="decimal"/>
      <w:lvlText w:val="%4."/>
      <w:lvlJc w:val="left"/>
      <w:pPr>
        <w:ind w:left="3094" w:hanging="360"/>
      </w:pPr>
    </w:lvl>
    <w:lvl w:ilvl="4" w:tplc="080C0019" w:tentative="1">
      <w:start w:val="1"/>
      <w:numFmt w:val="lowerLetter"/>
      <w:lvlText w:val="%5."/>
      <w:lvlJc w:val="left"/>
      <w:pPr>
        <w:ind w:left="3814" w:hanging="360"/>
      </w:pPr>
    </w:lvl>
    <w:lvl w:ilvl="5" w:tplc="080C001B" w:tentative="1">
      <w:start w:val="1"/>
      <w:numFmt w:val="lowerRoman"/>
      <w:lvlText w:val="%6."/>
      <w:lvlJc w:val="right"/>
      <w:pPr>
        <w:ind w:left="4534" w:hanging="180"/>
      </w:pPr>
    </w:lvl>
    <w:lvl w:ilvl="6" w:tplc="080C000F" w:tentative="1">
      <w:start w:val="1"/>
      <w:numFmt w:val="decimal"/>
      <w:lvlText w:val="%7."/>
      <w:lvlJc w:val="left"/>
      <w:pPr>
        <w:ind w:left="5254" w:hanging="360"/>
      </w:pPr>
    </w:lvl>
    <w:lvl w:ilvl="7" w:tplc="080C0019" w:tentative="1">
      <w:start w:val="1"/>
      <w:numFmt w:val="lowerLetter"/>
      <w:lvlText w:val="%8."/>
      <w:lvlJc w:val="left"/>
      <w:pPr>
        <w:ind w:left="5974" w:hanging="360"/>
      </w:pPr>
    </w:lvl>
    <w:lvl w:ilvl="8" w:tplc="080C001B" w:tentative="1">
      <w:start w:val="1"/>
      <w:numFmt w:val="lowerRoman"/>
      <w:lvlText w:val="%9."/>
      <w:lvlJc w:val="right"/>
      <w:pPr>
        <w:ind w:left="6694" w:hanging="180"/>
      </w:pPr>
    </w:lvl>
  </w:abstractNum>
  <w:abstractNum w:abstractNumId="13">
    <w:nsid w:val="1BF71348"/>
    <w:multiLevelType w:val="hybridMultilevel"/>
    <w:tmpl w:val="BED6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8C30BC"/>
    <w:multiLevelType w:val="multilevel"/>
    <w:tmpl w:val="A97A51FC"/>
    <w:lvl w:ilvl="0">
      <w:start w:val="4"/>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23A63DB8"/>
    <w:multiLevelType w:val="hybridMultilevel"/>
    <w:tmpl w:val="FF1440FE"/>
    <w:lvl w:ilvl="0" w:tplc="DC9E2A80">
      <w:start w:val="1"/>
      <w:numFmt w:val="lowerLetter"/>
      <w:lvlText w:val="%1."/>
      <w:lvlJc w:val="left"/>
      <w:pPr>
        <w:ind w:left="1440" w:hanging="360"/>
      </w:pPr>
      <w:rPr>
        <w:lang w:val="de-D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6832F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5B575C"/>
    <w:multiLevelType w:val="hybridMultilevel"/>
    <w:tmpl w:val="7C8EB34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28987AAC"/>
    <w:multiLevelType w:val="hybridMultilevel"/>
    <w:tmpl w:val="F66641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2A1405FD"/>
    <w:multiLevelType w:val="hybridMultilevel"/>
    <w:tmpl w:val="F7E25D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F8E283E"/>
    <w:multiLevelType w:val="hybridMultilevel"/>
    <w:tmpl w:val="12583B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0EE5142"/>
    <w:multiLevelType w:val="multilevel"/>
    <w:tmpl w:val="F06A943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072" w:hanging="504"/>
      </w:pPr>
      <w:rPr>
        <w:rFonts w:asciiTheme="minorHAnsi" w:hAnsiTheme="minorHAnsi" w:hint="default"/>
        <w:b/>
        <w:lang w:val="de-D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2034A5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nsid w:val="38374499"/>
    <w:multiLevelType w:val="hybridMultilevel"/>
    <w:tmpl w:val="E1D4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64678A"/>
    <w:multiLevelType w:val="hybridMultilevel"/>
    <w:tmpl w:val="C588A036"/>
    <w:lvl w:ilvl="0" w:tplc="0E925FA6">
      <w:start w:val="1"/>
      <w:numFmt w:val="lowerRoman"/>
      <w:lvlText w:val="%1."/>
      <w:lvlJc w:val="left"/>
      <w:pPr>
        <w:ind w:left="934" w:hanging="360"/>
      </w:pPr>
      <w:rPr>
        <w:rFonts w:hint="default"/>
        <w:color w:val="000000" w:themeColor="text1"/>
      </w:rPr>
    </w:lvl>
    <w:lvl w:ilvl="1" w:tplc="080C0019" w:tentative="1">
      <w:start w:val="1"/>
      <w:numFmt w:val="lowerLetter"/>
      <w:lvlText w:val="%2."/>
      <w:lvlJc w:val="left"/>
      <w:pPr>
        <w:ind w:left="1654" w:hanging="360"/>
      </w:pPr>
    </w:lvl>
    <w:lvl w:ilvl="2" w:tplc="080C001B" w:tentative="1">
      <w:start w:val="1"/>
      <w:numFmt w:val="lowerRoman"/>
      <w:lvlText w:val="%3."/>
      <w:lvlJc w:val="right"/>
      <w:pPr>
        <w:ind w:left="2374" w:hanging="180"/>
      </w:pPr>
    </w:lvl>
    <w:lvl w:ilvl="3" w:tplc="080C000F" w:tentative="1">
      <w:start w:val="1"/>
      <w:numFmt w:val="decimal"/>
      <w:lvlText w:val="%4."/>
      <w:lvlJc w:val="left"/>
      <w:pPr>
        <w:ind w:left="3094" w:hanging="360"/>
      </w:pPr>
    </w:lvl>
    <w:lvl w:ilvl="4" w:tplc="080C0019" w:tentative="1">
      <w:start w:val="1"/>
      <w:numFmt w:val="lowerLetter"/>
      <w:lvlText w:val="%5."/>
      <w:lvlJc w:val="left"/>
      <w:pPr>
        <w:ind w:left="3814" w:hanging="360"/>
      </w:pPr>
    </w:lvl>
    <w:lvl w:ilvl="5" w:tplc="080C001B" w:tentative="1">
      <w:start w:val="1"/>
      <w:numFmt w:val="lowerRoman"/>
      <w:lvlText w:val="%6."/>
      <w:lvlJc w:val="right"/>
      <w:pPr>
        <w:ind w:left="4534" w:hanging="180"/>
      </w:pPr>
    </w:lvl>
    <w:lvl w:ilvl="6" w:tplc="080C000F" w:tentative="1">
      <w:start w:val="1"/>
      <w:numFmt w:val="decimal"/>
      <w:lvlText w:val="%7."/>
      <w:lvlJc w:val="left"/>
      <w:pPr>
        <w:ind w:left="5254" w:hanging="360"/>
      </w:pPr>
    </w:lvl>
    <w:lvl w:ilvl="7" w:tplc="080C0019" w:tentative="1">
      <w:start w:val="1"/>
      <w:numFmt w:val="lowerLetter"/>
      <w:lvlText w:val="%8."/>
      <w:lvlJc w:val="left"/>
      <w:pPr>
        <w:ind w:left="5974" w:hanging="360"/>
      </w:pPr>
    </w:lvl>
    <w:lvl w:ilvl="8" w:tplc="080C001B" w:tentative="1">
      <w:start w:val="1"/>
      <w:numFmt w:val="lowerRoman"/>
      <w:lvlText w:val="%9."/>
      <w:lvlJc w:val="right"/>
      <w:pPr>
        <w:ind w:left="6694" w:hanging="180"/>
      </w:pPr>
    </w:lvl>
  </w:abstractNum>
  <w:abstractNum w:abstractNumId="25">
    <w:nsid w:val="39664A5A"/>
    <w:multiLevelType w:val="hybridMultilevel"/>
    <w:tmpl w:val="20908556"/>
    <w:lvl w:ilvl="0" w:tplc="0410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4951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440F04"/>
    <w:multiLevelType w:val="hybridMultilevel"/>
    <w:tmpl w:val="5A886DBE"/>
    <w:lvl w:ilvl="0" w:tplc="C71AB424">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FA31D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360D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492AA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4F2160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08076D1"/>
    <w:multiLevelType w:val="hybridMultilevel"/>
    <w:tmpl w:val="235C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CE0F34"/>
    <w:multiLevelType w:val="hybridMultilevel"/>
    <w:tmpl w:val="0EC4D138"/>
    <w:lvl w:ilvl="0" w:tplc="1EEEE44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DB0791"/>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5">
    <w:nsid w:val="5C9210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D060A07"/>
    <w:multiLevelType w:val="multilevel"/>
    <w:tmpl w:val="AD40DBB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A955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FE21ACD"/>
    <w:multiLevelType w:val="hybridMultilevel"/>
    <w:tmpl w:val="C68E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524CFB"/>
    <w:multiLevelType w:val="multilevel"/>
    <w:tmpl w:val="2176EE90"/>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072" w:hanging="504"/>
      </w:pPr>
      <w:rPr>
        <w:lang w:val="de-D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9904F9"/>
    <w:multiLevelType w:val="hybridMultilevel"/>
    <w:tmpl w:val="F6E68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DC5C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3197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8EC7FF4"/>
    <w:multiLevelType w:val="hybridMultilevel"/>
    <w:tmpl w:val="19EA7832"/>
    <w:lvl w:ilvl="0" w:tplc="BCA6E142">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F3710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5">
    <w:nsid w:val="692B6320"/>
    <w:multiLevelType w:val="hybridMultilevel"/>
    <w:tmpl w:val="16C013E8"/>
    <w:lvl w:ilvl="0" w:tplc="8B5A93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nsid w:val="6BAE34EA"/>
    <w:multiLevelType w:val="multilevel"/>
    <w:tmpl w:val="56C2E11C"/>
    <w:lvl w:ilvl="0">
      <w:start w:val="4"/>
      <w:numFmt w:val="decimal"/>
      <w:lvlText w:val="%1"/>
      <w:lvlJc w:val="left"/>
      <w:pPr>
        <w:ind w:left="450" w:hanging="450"/>
      </w:pPr>
      <w:rPr>
        <w:rFonts w:hint="default"/>
      </w:rPr>
    </w:lvl>
    <w:lvl w:ilvl="1">
      <w:start w:val="2"/>
      <w:numFmt w:val="decimal"/>
      <w:lvlText w:val="%1.%2"/>
      <w:lvlJc w:val="left"/>
      <w:pPr>
        <w:ind w:left="521" w:hanging="45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7">
    <w:nsid w:val="6C110E31"/>
    <w:multiLevelType w:val="hybridMultilevel"/>
    <w:tmpl w:val="38B83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6DA22E35"/>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9">
    <w:nsid w:val="6DBA585B"/>
    <w:multiLevelType w:val="hybridMultilevel"/>
    <w:tmpl w:val="B9822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DDC6E1A"/>
    <w:multiLevelType w:val="hybridMultilevel"/>
    <w:tmpl w:val="CD58328E"/>
    <w:lvl w:ilvl="0" w:tplc="FE3AC2C8">
      <w:start w:val="1"/>
      <w:numFmt w:val="lowerRoman"/>
      <w:lvlText w:val="%1."/>
      <w:lvlJc w:val="left"/>
      <w:pPr>
        <w:ind w:left="720" w:hanging="360"/>
      </w:pPr>
      <w:rPr>
        <w:rFonts w:hint="default"/>
      </w:rPr>
    </w:lvl>
    <w:lvl w:ilvl="1" w:tplc="DC9E2A80">
      <w:start w:val="1"/>
      <w:numFmt w:val="lowerLetter"/>
      <w:lvlText w:val="%2."/>
      <w:lvlJc w:val="left"/>
      <w:pPr>
        <w:ind w:left="1440" w:hanging="360"/>
      </w:pPr>
      <w:rPr>
        <w:lang w:val="de-D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6E15771A"/>
    <w:multiLevelType w:val="multilevel"/>
    <w:tmpl w:val="C046EE42"/>
    <w:lvl w:ilvl="0">
      <w:start w:val="2"/>
      <w:numFmt w:val="decimal"/>
      <w:lvlText w:val="%1"/>
      <w:lvlJc w:val="left"/>
      <w:pPr>
        <w:ind w:left="360" w:hanging="360"/>
      </w:pPr>
      <w:rPr>
        <w:rFonts w:hint="default"/>
      </w:rPr>
    </w:lvl>
    <w:lvl w:ilvl="1">
      <w:start w:val="3"/>
      <w:numFmt w:val="decimal"/>
      <w:lvlText w:val="%1.%2"/>
      <w:lvlJc w:val="left"/>
      <w:pPr>
        <w:ind w:left="1294" w:hanging="72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802" w:hanging="108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4310" w:hanging="1440"/>
      </w:pPr>
      <w:rPr>
        <w:rFonts w:hint="default"/>
      </w:rPr>
    </w:lvl>
    <w:lvl w:ilvl="6">
      <w:start w:val="1"/>
      <w:numFmt w:val="decimal"/>
      <w:lvlText w:val="%1.%2.%3.%4.%5.%6.%7"/>
      <w:lvlJc w:val="left"/>
      <w:pPr>
        <w:ind w:left="5244" w:hanging="1800"/>
      </w:pPr>
      <w:rPr>
        <w:rFonts w:hint="default"/>
      </w:rPr>
    </w:lvl>
    <w:lvl w:ilvl="7">
      <w:start w:val="1"/>
      <w:numFmt w:val="decimal"/>
      <w:lvlText w:val="%1.%2.%3.%4.%5.%6.%7.%8"/>
      <w:lvlJc w:val="left"/>
      <w:pPr>
        <w:ind w:left="5818" w:hanging="1800"/>
      </w:pPr>
      <w:rPr>
        <w:rFonts w:hint="default"/>
      </w:rPr>
    </w:lvl>
    <w:lvl w:ilvl="8">
      <w:start w:val="1"/>
      <w:numFmt w:val="decimal"/>
      <w:lvlText w:val="%1.%2.%3.%4.%5.%6.%7.%8.%9"/>
      <w:lvlJc w:val="left"/>
      <w:pPr>
        <w:ind w:left="6752" w:hanging="2160"/>
      </w:pPr>
      <w:rPr>
        <w:rFonts w:hint="default"/>
      </w:rPr>
    </w:lvl>
  </w:abstractNum>
  <w:abstractNum w:abstractNumId="52">
    <w:nsid w:val="73C34E8B"/>
    <w:multiLevelType w:val="multilevel"/>
    <w:tmpl w:val="DC902538"/>
    <w:lvl w:ilvl="0">
      <w:start w:val="2"/>
      <w:numFmt w:val="decimal"/>
      <w:lvlText w:val="%1"/>
      <w:lvlJc w:val="left"/>
      <w:pPr>
        <w:ind w:left="525" w:hanging="525"/>
      </w:pPr>
      <w:rPr>
        <w:rFonts w:hint="default"/>
      </w:rPr>
    </w:lvl>
    <w:lvl w:ilvl="1">
      <w:start w:val="3"/>
      <w:numFmt w:val="decimal"/>
      <w:lvlText w:val="%1.%2"/>
      <w:lvlJc w:val="left"/>
      <w:pPr>
        <w:ind w:left="596"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53">
    <w:nsid w:val="79DC47AE"/>
    <w:multiLevelType w:val="hybridMultilevel"/>
    <w:tmpl w:val="5D34F68E"/>
    <w:lvl w:ilvl="0" w:tplc="BCA6E142">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60298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5">
    <w:nsid w:val="7EB83172"/>
    <w:multiLevelType w:val="hybridMultilevel"/>
    <w:tmpl w:val="2182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38"/>
  </w:num>
  <w:num w:numId="3">
    <w:abstractNumId w:val="43"/>
  </w:num>
  <w:num w:numId="4">
    <w:abstractNumId w:val="0"/>
  </w:num>
  <w:num w:numId="5">
    <w:abstractNumId w:val="21"/>
  </w:num>
  <w:num w:numId="6">
    <w:abstractNumId w:val="44"/>
  </w:num>
  <w:num w:numId="7">
    <w:abstractNumId w:val="42"/>
  </w:num>
  <w:num w:numId="8">
    <w:abstractNumId w:val="33"/>
  </w:num>
  <w:num w:numId="9">
    <w:abstractNumId w:val="55"/>
  </w:num>
  <w:num w:numId="10">
    <w:abstractNumId w:val="8"/>
  </w:num>
  <w:num w:numId="11">
    <w:abstractNumId w:val="48"/>
  </w:num>
  <w:num w:numId="12">
    <w:abstractNumId w:val="34"/>
  </w:num>
  <w:num w:numId="13">
    <w:abstractNumId w:val="11"/>
  </w:num>
  <w:num w:numId="14">
    <w:abstractNumId w:val="41"/>
  </w:num>
  <w:num w:numId="15">
    <w:abstractNumId w:val="30"/>
  </w:num>
  <w:num w:numId="16">
    <w:abstractNumId w:val="22"/>
  </w:num>
  <w:num w:numId="17">
    <w:abstractNumId w:val="26"/>
  </w:num>
  <w:num w:numId="18">
    <w:abstractNumId w:val="31"/>
  </w:num>
  <w:num w:numId="19">
    <w:abstractNumId w:val="37"/>
  </w:num>
  <w:num w:numId="20">
    <w:abstractNumId w:val="35"/>
  </w:num>
  <w:num w:numId="21">
    <w:abstractNumId w:val="7"/>
  </w:num>
  <w:num w:numId="22">
    <w:abstractNumId w:val="23"/>
  </w:num>
  <w:num w:numId="23">
    <w:abstractNumId w:val="32"/>
  </w:num>
  <w:num w:numId="24">
    <w:abstractNumId w:val="2"/>
  </w:num>
  <w:num w:numId="25">
    <w:abstractNumId w:val="3"/>
  </w:num>
  <w:num w:numId="26">
    <w:abstractNumId w:val="10"/>
  </w:num>
  <w:num w:numId="27">
    <w:abstractNumId w:val="4"/>
  </w:num>
  <w:num w:numId="28">
    <w:abstractNumId w:val="54"/>
  </w:num>
  <w:num w:numId="29">
    <w:abstractNumId w:val="16"/>
  </w:num>
  <w:num w:numId="30">
    <w:abstractNumId w:val="27"/>
  </w:num>
  <w:num w:numId="31">
    <w:abstractNumId w:val="28"/>
  </w:num>
  <w:num w:numId="32">
    <w:abstractNumId w:val="40"/>
  </w:num>
  <w:num w:numId="33">
    <w:abstractNumId w:val="13"/>
  </w:num>
  <w:num w:numId="34">
    <w:abstractNumId w:val="29"/>
  </w:num>
  <w:num w:numId="35">
    <w:abstractNumId w:val="20"/>
  </w:num>
  <w:num w:numId="36">
    <w:abstractNumId w:val="17"/>
  </w:num>
  <w:num w:numId="37">
    <w:abstractNumId w:val="18"/>
  </w:num>
  <w:num w:numId="38">
    <w:abstractNumId w:val="19"/>
  </w:num>
  <w:num w:numId="39">
    <w:abstractNumId w:val="1"/>
  </w:num>
  <w:num w:numId="40">
    <w:abstractNumId w:val="12"/>
  </w:num>
  <w:num w:numId="41">
    <w:abstractNumId w:val="45"/>
  </w:num>
  <w:num w:numId="42">
    <w:abstractNumId w:val="24"/>
  </w:num>
  <w:num w:numId="43">
    <w:abstractNumId w:val="5"/>
  </w:num>
  <w:num w:numId="44">
    <w:abstractNumId w:val="14"/>
  </w:num>
  <w:num w:numId="45">
    <w:abstractNumId w:val="52"/>
  </w:num>
  <w:num w:numId="46">
    <w:abstractNumId w:val="25"/>
  </w:num>
  <w:num w:numId="47">
    <w:abstractNumId w:val="9"/>
  </w:num>
  <w:num w:numId="48">
    <w:abstractNumId w:val="46"/>
  </w:num>
  <w:num w:numId="49">
    <w:abstractNumId w:val="51"/>
  </w:num>
  <w:num w:numId="50">
    <w:abstractNumId w:val="36"/>
  </w:num>
  <w:num w:numId="51">
    <w:abstractNumId w:val="49"/>
  </w:num>
  <w:num w:numId="52">
    <w:abstractNumId w:val="39"/>
  </w:num>
  <w:num w:numId="53">
    <w:abstractNumId w:val="50"/>
  </w:num>
  <w:num w:numId="54">
    <w:abstractNumId w:val="15"/>
  </w:num>
  <w:num w:numId="55">
    <w:abstractNumId w:val="6"/>
  </w:num>
  <w:num w:numId="56">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CA"/>
    <w:rsid w:val="000014C6"/>
    <w:rsid w:val="0000314F"/>
    <w:rsid w:val="000065F6"/>
    <w:rsid w:val="00011C0D"/>
    <w:rsid w:val="00016550"/>
    <w:rsid w:val="00022B33"/>
    <w:rsid w:val="00022E03"/>
    <w:rsid w:val="00044C3D"/>
    <w:rsid w:val="00045740"/>
    <w:rsid w:val="00047F20"/>
    <w:rsid w:val="00051805"/>
    <w:rsid w:val="00051FED"/>
    <w:rsid w:val="00064B0D"/>
    <w:rsid w:val="00064DDE"/>
    <w:rsid w:val="00067B68"/>
    <w:rsid w:val="0007080E"/>
    <w:rsid w:val="000741A1"/>
    <w:rsid w:val="00077F62"/>
    <w:rsid w:val="00082E90"/>
    <w:rsid w:val="0008368D"/>
    <w:rsid w:val="00085EF3"/>
    <w:rsid w:val="000935D7"/>
    <w:rsid w:val="000A1A46"/>
    <w:rsid w:val="000A297B"/>
    <w:rsid w:val="000A6331"/>
    <w:rsid w:val="000A6E19"/>
    <w:rsid w:val="000B3490"/>
    <w:rsid w:val="000C04B8"/>
    <w:rsid w:val="000C3D81"/>
    <w:rsid w:val="000C50B0"/>
    <w:rsid w:val="000C7E72"/>
    <w:rsid w:val="000D228E"/>
    <w:rsid w:val="000E3209"/>
    <w:rsid w:val="000F0816"/>
    <w:rsid w:val="00102270"/>
    <w:rsid w:val="00102CDE"/>
    <w:rsid w:val="00102F74"/>
    <w:rsid w:val="00105143"/>
    <w:rsid w:val="0010769D"/>
    <w:rsid w:val="00110576"/>
    <w:rsid w:val="0011285E"/>
    <w:rsid w:val="00117D4E"/>
    <w:rsid w:val="00124483"/>
    <w:rsid w:val="00126FFD"/>
    <w:rsid w:val="00132A8C"/>
    <w:rsid w:val="00136E84"/>
    <w:rsid w:val="001438EF"/>
    <w:rsid w:val="00145D80"/>
    <w:rsid w:val="00147BF2"/>
    <w:rsid w:val="00151DF4"/>
    <w:rsid w:val="001522C0"/>
    <w:rsid w:val="00153632"/>
    <w:rsid w:val="00160319"/>
    <w:rsid w:val="00162110"/>
    <w:rsid w:val="00162BB5"/>
    <w:rsid w:val="00170718"/>
    <w:rsid w:val="00171789"/>
    <w:rsid w:val="0018351A"/>
    <w:rsid w:val="0018374B"/>
    <w:rsid w:val="00185B77"/>
    <w:rsid w:val="001866E5"/>
    <w:rsid w:val="001901F9"/>
    <w:rsid w:val="00191E44"/>
    <w:rsid w:val="0019615B"/>
    <w:rsid w:val="001A0BF5"/>
    <w:rsid w:val="001A26C8"/>
    <w:rsid w:val="001A7789"/>
    <w:rsid w:val="001B0269"/>
    <w:rsid w:val="001B0892"/>
    <w:rsid w:val="001C3A4A"/>
    <w:rsid w:val="001C41E2"/>
    <w:rsid w:val="001C697F"/>
    <w:rsid w:val="001D0A61"/>
    <w:rsid w:val="001D11E9"/>
    <w:rsid w:val="001D5083"/>
    <w:rsid w:val="001D7DFA"/>
    <w:rsid w:val="001E119A"/>
    <w:rsid w:val="001E1973"/>
    <w:rsid w:val="001F0E45"/>
    <w:rsid w:val="001F274A"/>
    <w:rsid w:val="001F4D75"/>
    <w:rsid w:val="002007B5"/>
    <w:rsid w:val="0020090E"/>
    <w:rsid w:val="002032FF"/>
    <w:rsid w:val="00206144"/>
    <w:rsid w:val="0020654C"/>
    <w:rsid w:val="002067D7"/>
    <w:rsid w:val="002068EA"/>
    <w:rsid w:val="002074DC"/>
    <w:rsid w:val="002158E2"/>
    <w:rsid w:val="002218A3"/>
    <w:rsid w:val="00222C72"/>
    <w:rsid w:val="00222CD3"/>
    <w:rsid w:val="00223890"/>
    <w:rsid w:val="00230120"/>
    <w:rsid w:val="00235B57"/>
    <w:rsid w:val="00240F95"/>
    <w:rsid w:val="00241C80"/>
    <w:rsid w:val="0024497B"/>
    <w:rsid w:val="00244BDA"/>
    <w:rsid w:val="002453E5"/>
    <w:rsid w:val="002537AA"/>
    <w:rsid w:val="00256367"/>
    <w:rsid w:val="0025752E"/>
    <w:rsid w:val="002701EE"/>
    <w:rsid w:val="00270E10"/>
    <w:rsid w:val="002720A6"/>
    <w:rsid w:val="00274592"/>
    <w:rsid w:val="00274F9B"/>
    <w:rsid w:val="00281796"/>
    <w:rsid w:val="00283FCA"/>
    <w:rsid w:val="00286618"/>
    <w:rsid w:val="002A03F0"/>
    <w:rsid w:val="002A2581"/>
    <w:rsid w:val="002A4ADF"/>
    <w:rsid w:val="002B3EF4"/>
    <w:rsid w:val="002B57FC"/>
    <w:rsid w:val="002C2884"/>
    <w:rsid w:val="002C5164"/>
    <w:rsid w:val="002C5316"/>
    <w:rsid w:val="002D4FBA"/>
    <w:rsid w:val="002D5282"/>
    <w:rsid w:val="002D65D0"/>
    <w:rsid w:val="002D764A"/>
    <w:rsid w:val="002E1229"/>
    <w:rsid w:val="002F10D6"/>
    <w:rsid w:val="002F3B6F"/>
    <w:rsid w:val="00302409"/>
    <w:rsid w:val="00317DAB"/>
    <w:rsid w:val="0032249E"/>
    <w:rsid w:val="00322B2F"/>
    <w:rsid w:val="003248AF"/>
    <w:rsid w:val="00330D4F"/>
    <w:rsid w:val="003417CA"/>
    <w:rsid w:val="0035220F"/>
    <w:rsid w:val="0035332F"/>
    <w:rsid w:val="00356043"/>
    <w:rsid w:val="003565B9"/>
    <w:rsid w:val="00356A97"/>
    <w:rsid w:val="00357B3E"/>
    <w:rsid w:val="00361623"/>
    <w:rsid w:val="00362C42"/>
    <w:rsid w:val="00362E37"/>
    <w:rsid w:val="003645D2"/>
    <w:rsid w:val="003669D3"/>
    <w:rsid w:val="003718FE"/>
    <w:rsid w:val="00374A83"/>
    <w:rsid w:val="00380D8E"/>
    <w:rsid w:val="0038287C"/>
    <w:rsid w:val="00385958"/>
    <w:rsid w:val="00395863"/>
    <w:rsid w:val="003A030E"/>
    <w:rsid w:val="003A0A92"/>
    <w:rsid w:val="003A1B96"/>
    <w:rsid w:val="003A49BA"/>
    <w:rsid w:val="003A51D2"/>
    <w:rsid w:val="003A5B28"/>
    <w:rsid w:val="003B3BAC"/>
    <w:rsid w:val="003B5023"/>
    <w:rsid w:val="003B6B6F"/>
    <w:rsid w:val="003C32D2"/>
    <w:rsid w:val="003C6889"/>
    <w:rsid w:val="003C7A68"/>
    <w:rsid w:val="003E0139"/>
    <w:rsid w:val="003E0308"/>
    <w:rsid w:val="003E299C"/>
    <w:rsid w:val="003E2EB7"/>
    <w:rsid w:val="003F62FC"/>
    <w:rsid w:val="003F633E"/>
    <w:rsid w:val="00402050"/>
    <w:rsid w:val="004027A9"/>
    <w:rsid w:val="00415C19"/>
    <w:rsid w:val="00416834"/>
    <w:rsid w:val="004179ED"/>
    <w:rsid w:val="004200DB"/>
    <w:rsid w:val="00426977"/>
    <w:rsid w:val="00426EB0"/>
    <w:rsid w:val="0043162D"/>
    <w:rsid w:val="0043382C"/>
    <w:rsid w:val="00433E28"/>
    <w:rsid w:val="00441145"/>
    <w:rsid w:val="004415B6"/>
    <w:rsid w:val="0044238E"/>
    <w:rsid w:val="004440EC"/>
    <w:rsid w:val="004445F0"/>
    <w:rsid w:val="004525A3"/>
    <w:rsid w:val="004547AD"/>
    <w:rsid w:val="0045545E"/>
    <w:rsid w:val="00456673"/>
    <w:rsid w:val="0046109A"/>
    <w:rsid w:val="00463671"/>
    <w:rsid w:val="00471219"/>
    <w:rsid w:val="004749A6"/>
    <w:rsid w:val="004820AB"/>
    <w:rsid w:val="00482F40"/>
    <w:rsid w:val="00495605"/>
    <w:rsid w:val="00497FB9"/>
    <w:rsid w:val="004A1AD2"/>
    <w:rsid w:val="004A4745"/>
    <w:rsid w:val="004A4F02"/>
    <w:rsid w:val="004C2FE7"/>
    <w:rsid w:val="004C7A47"/>
    <w:rsid w:val="004D0F2C"/>
    <w:rsid w:val="004D634E"/>
    <w:rsid w:val="004D6E9F"/>
    <w:rsid w:val="004E083B"/>
    <w:rsid w:val="004E6896"/>
    <w:rsid w:val="004F45B5"/>
    <w:rsid w:val="004F6CE0"/>
    <w:rsid w:val="004F7E86"/>
    <w:rsid w:val="005006D5"/>
    <w:rsid w:val="00500BB7"/>
    <w:rsid w:val="005056F8"/>
    <w:rsid w:val="00512FFF"/>
    <w:rsid w:val="00524A49"/>
    <w:rsid w:val="00532C54"/>
    <w:rsid w:val="00534203"/>
    <w:rsid w:val="005367F5"/>
    <w:rsid w:val="00545024"/>
    <w:rsid w:val="005475E7"/>
    <w:rsid w:val="005503F7"/>
    <w:rsid w:val="005549B7"/>
    <w:rsid w:val="00561296"/>
    <w:rsid w:val="0057079C"/>
    <w:rsid w:val="00576E35"/>
    <w:rsid w:val="00581A91"/>
    <w:rsid w:val="005830E6"/>
    <w:rsid w:val="005869D5"/>
    <w:rsid w:val="00593392"/>
    <w:rsid w:val="00596899"/>
    <w:rsid w:val="005A07F0"/>
    <w:rsid w:val="005A6CC2"/>
    <w:rsid w:val="005B20CB"/>
    <w:rsid w:val="005B7C18"/>
    <w:rsid w:val="005B7D49"/>
    <w:rsid w:val="005C2351"/>
    <w:rsid w:val="005D039C"/>
    <w:rsid w:val="005E249B"/>
    <w:rsid w:val="005E3BAC"/>
    <w:rsid w:val="005F0987"/>
    <w:rsid w:val="00602401"/>
    <w:rsid w:val="0060337B"/>
    <w:rsid w:val="00604832"/>
    <w:rsid w:val="00605BEB"/>
    <w:rsid w:val="00607433"/>
    <w:rsid w:val="006120F7"/>
    <w:rsid w:val="00613C2A"/>
    <w:rsid w:val="00614924"/>
    <w:rsid w:val="00615131"/>
    <w:rsid w:val="00634C92"/>
    <w:rsid w:val="00637B97"/>
    <w:rsid w:val="006427BE"/>
    <w:rsid w:val="00652923"/>
    <w:rsid w:val="00662140"/>
    <w:rsid w:val="00664425"/>
    <w:rsid w:val="0066542D"/>
    <w:rsid w:val="00671AC8"/>
    <w:rsid w:val="00677229"/>
    <w:rsid w:val="006813F4"/>
    <w:rsid w:val="00684690"/>
    <w:rsid w:val="00686576"/>
    <w:rsid w:val="00695084"/>
    <w:rsid w:val="006A0269"/>
    <w:rsid w:val="006A0D32"/>
    <w:rsid w:val="006A15A2"/>
    <w:rsid w:val="006A2EFC"/>
    <w:rsid w:val="006A678A"/>
    <w:rsid w:val="006A6A9E"/>
    <w:rsid w:val="006B12CB"/>
    <w:rsid w:val="006B2168"/>
    <w:rsid w:val="006B2F99"/>
    <w:rsid w:val="006B6231"/>
    <w:rsid w:val="006B6283"/>
    <w:rsid w:val="006B6F75"/>
    <w:rsid w:val="006C45F9"/>
    <w:rsid w:val="006C5241"/>
    <w:rsid w:val="006C5696"/>
    <w:rsid w:val="006C6DF3"/>
    <w:rsid w:val="006D198A"/>
    <w:rsid w:val="006D2A53"/>
    <w:rsid w:val="006D3E5B"/>
    <w:rsid w:val="006E5F3F"/>
    <w:rsid w:val="006F3A2F"/>
    <w:rsid w:val="006F3B23"/>
    <w:rsid w:val="00700471"/>
    <w:rsid w:val="00710220"/>
    <w:rsid w:val="007110AC"/>
    <w:rsid w:val="007117E8"/>
    <w:rsid w:val="00713A9B"/>
    <w:rsid w:val="007200A1"/>
    <w:rsid w:val="00723760"/>
    <w:rsid w:val="00724A0F"/>
    <w:rsid w:val="00726266"/>
    <w:rsid w:val="00726D12"/>
    <w:rsid w:val="0073100F"/>
    <w:rsid w:val="00735044"/>
    <w:rsid w:val="0074362E"/>
    <w:rsid w:val="007458E3"/>
    <w:rsid w:val="0074618B"/>
    <w:rsid w:val="00747FD4"/>
    <w:rsid w:val="00764886"/>
    <w:rsid w:val="0076560A"/>
    <w:rsid w:val="007671DC"/>
    <w:rsid w:val="00772325"/>
    <w:rsid w:val="007726E0"/>
    <w:rsid w:val="007755DC"/>
    <w:rsid w:val="00775DFF"/>
    <w:rsid w:val="00780DDF"/>
    <w:rsid w:val="00794A1F"/>
    <w:rsid w:val="007A29F1"/>
    <w:rsid w:val="007A2B36"/>
    <w:rsid w:val="007A2EB0"/>
    <w:rsid w:val="007A4F49"/>
    <w:rsid w:val="007B0F61"/>
    <w:rsid w:val="007B4E33"/>
    <w:rsid w:val="007B6099"/>
    <w:rsid w:val="007C5547"/>
    <w:rsid w:val="007D0392"/>
    <w:rsid w:val="007D2069"/>
    <w:rsid w:val="007E0D13"/>
    <w:rsid w:val="007E3D25"/>
    <w:rsid w:val="007E4221"/>
    <w:rsid w:val="007E512B"/>
    <w:rsid w:val="007E68D4"/>
    <w:rsid w:val="007F0AD0"/>
    <w:rsid w:val="007F1824"/>
    <w:rsid w:val="007F3C26"/>
    <w:rsid w:val="007F6042"/>
    <w:rsid w:val="007F6C10"/>
    <w:rsid w:val="00804FB4"/>
    <w:rsid w:val="00812BD9"/>
    <w:rsid w:val="00815CBD"/>
    <w:rsid w:val="00820326"/>
    <w:rsid w:val="008221E3"/>
    <w:rsid w:val="008256F5"/>
    <w:rsid w:val="0082656D"/>
    <w:rsid w:val="00830FE5"/>
    <w:rsid w:val="008353CD"/>
    <w:rsid w:val="008363CD"/>
    <w:rsid w:val="00837AED"/>
    <w:rsid w:val="00852797"/>
    <w:rsid w:val="00853A29"/>
    <w:rsid w:val="0085716A"/>
    <w:rsid w:val="008714FE"/>
    <w:rsid w:val="0087326C"/>
    <w:rsid w:val="00875F68"/>
    <w:rsid w:val="00876878"/>
    <w:rsid w:val="0088160D"/>
    <w:rsid w:val="00884274"/>
    <w:rsid w:val="008859D4"/>
    <w:rsid w:val="00886E14"/>
    <w:rsid w:val="00887500"/>
    <w:rsid w:val="0089152E"/>
    <w:rsid w:val="0089451C"/>
    <w:rsid w:val="0089585C"/>
    <w:rsid w:val="00896B94"/>
    <w:rsid w:val="008A5507"/>
    <w:rsid w:val="008C098F"/>
    <w:rsid w:val="008D194A"/>
    <w:rsid w:val="008D2914"/>
    <w:rsid w:val="008D2985"/>
    <w:rsid w:val="008F02B9"/>
    <w:rsid w:val="008F32B2"/>
    <w:rsid w:val="008F51B4"/>
    <w:rsid w:val="008F75BE"/>
    <w:rsid w:val="0090061E"/>
    <w:rsid w:val="00902298"/>
    <w:rsid w:val="00910DA1"/>
    <w:rsid w:val="009145D6"/>
    <w:rsid w:val="00914877"/>
    <w:rsid w:val="00923CFB"/>
    <w:rsid w:val="00924B7C"/>
    <w:rsid w:val="00931C83"/>
    <w:rsid w:val="00932C92"/>
    <w:rsid w:val="009379FF"/>
    <w:rsid w:val="00944221"/>
    <w:rsid w:val="009445A9"/>
    <w:rsid w:val="00950360"/>
    <w:rsid w:val="00956DE7"/>
    <w:rsid w:val="00961DB2"/>
    <w:rsid w:val="00965159"/>
    <w:rsid w:val="009928DC"/>
    <w:rsid w:val="00994A76"/>
    <w:rsid w:val="00995A03"/>
    <w:rsid w:val="009968B2"/>
    <w:rsid w:val="009A1C11"/>
    <w:rsid w:val="009A26A4"/>
    <w:rsid w:val="009A7A14"/>
    <w:rsid w:val="009B196E"/>
    <w:rsid w:val="009B7227"/>
    <w:rsid w:val="009C204E"/>
    <w:rsid w:val="009C3DAF"/>
    <w:rsid w:val="009D0997"/>
    <w:rsid w:val="009D5BFC"/>
    <w:rsid w:val="009E2AB3"/>
    <w:rsid w:val="009E4716"/>
    <w:rsid w:val="009E6B90"/>
    <w:rsid w:val="009E6CC9"/>
    <w:rsid w:val="009F09B6"/>
    <w:rsid w:val="009F59ED"/>
    <w:rsid w:val="009F5A5D"/>
    <w:rsid w:val="00A0429E"/>
    <w:rsid w:val="00A1671F"/>
    <w:rsid w:val="00A16874"/>
    <w:rsid w:val="00A225F7"/>
    <w:rsid w:val="00A2627D"/>
    <w:rsid w:val="00A36B06"/>
    <w:rsid w:val="00A37E5C"/>
    <w:rsid w:val="00A518FB"/>
    <w:rsid w:val="00A554CE"/>
    <w:rsid w:val="00A56E9C"/>
    <w:rsid w:val="00A6016F"/>
    <w:rsid w:val="00A6286C"/>
    <w:rsid w:val="00A668AA"/>
    <w:rsid w:val="00A7315D"/>
    <w:rsid w:val="00A76A0C"/>
    <w:rsid w:val="00A846E2"/>
    <w:rsid w:val="00A84962"/>
    <w:rsid w:val="00A94F1E"/>
    <w:rsid w:val="00A95856"/>
    <w:rsid w:val="00A97F53"/>
    <w:rsid w:val="00AA5DF3"/>
    <w:rsid w:val="00AC06B0"/>
    <w:rsid w:val="00AC1B76"/>
    <w:rsid w:val="00AC4A02"/>
    <w:rsid w:val="00AC598C"/>
    <w:rsid w:val="00AC77EE"/>
    <w:rsid w:val="00AE06BB"/>
    <w:rsid w:val="00AE652C"/>
    <w:rsid w:val="00AE78BF"/>
    <w:rsid w:val="00AE7DF2"/>
    <w:rsid w:val="00B00512"/>
    <w:rsid w:val="00B134EC"/>
    <w:rsid w:val="00B13550"/>
    <w:rsid w:val="00B14943"/>
    <w:rsid w:val="00B1573D"/>
    <w:rsid w:val="00B23528"/>
    <w:rsid w:val="00B35030"/>
    <w:rsid w:val="00B35186"/>
    <w:rsid w:val="00B35C8B"/>
    <w:rsid w:val="00B408B0"/>
    <w:rsid w:val="00B41E2E"/>
    <w:rsid w:val="00B4277F"/>
    <w:rsid w:val="00B43AD1"/>
    <w:rsid w:val="00B45705"/>
    <w:rsid w:val="00B53254"/>
    <w:rsid w:val="00B55AA9"/>
    <w:rsid w:val="00B72B81"/>
    <w:rsid w:val="00B74083"/>
    <w:rsid w:val="00B77463"/>
    <w:rsid w:val="00B81A9D"/>
    <w:rsid w:val="00B84557"/>
    <w:rsid w:val="00B86239"/>
    <w:rsid w:val="00B87B34"/>
    <w:rsid w:val="00B92BAC"/>
    <w:rsid w:val="00B97CC9"/>
    <w:rsid w:val="00BA6C33"/>
    <w:rsid w:val="00BB190B"/>
    <w:rsid w:val="00BB2304"/>
    <w:rsid w:val="00BC3190"/>
    <w:rsid w:val="00BE0846"/>
    <w:rsid w:val="00BE213C"/>
    <w:rsid w:val="00BE5F15"/>
    <w:rsid w:val="00BE64D0"/>
    <w:rsid w:val="00BF709E"/>
    <w:rsid w:val="00C01304"/>
    <w:rsid w:val="00C0602C"/>
    <w:rsid w:val="00C1059D"/>
    <w:rsid w:val="00C168B9"/>
    <w:rsid w:val="00C21C68"/>
    <w:rsid w:val="00C250A7"/>
    <w:rsid w:val="00C26BA8"/>
    <w:rsid w:val="00C27A47"/>
    <w:rsid w:val="00C347BF"/>
    <w:rsid w:val="00C359FD"/>
    <w:rsid w:val="00C35D01"/>
    <w:rsid w:val="00C45A11"/>
    <w:rsid w:val="00C46935"/>
    <w:rsid w:val="00C47F7B"/>
    <w:rsid w:val="00C50744"/>
    <w:rsid w:val="00C508C7"/>
    <w:rsid w:val="00C51EA0"/>
    <w:rsid w:val="00C54792"/>
    <w:rsid w:val="00C66471"/>
    <w:rsid w:val="00C673E4"/>
    <w:rsid w:val="00C756E0"/>
    <w:rsid w:val="00C80EB9"/>
    <w:rsid w:val="00C81510"/>
    <w:rsid w:val="00C83EF0"/>
    <w:rsid w:val="00C938F7"/>
    <w:rsid w:val="00C965A0"/>
    <w:rsid w:val="00CA2F9F"/>
    <w:rsid w:val="00CA490E"/>
    <w:rsid w:val="00CB0BA3"/>
    <w:rsid w:val="00CB2669"/>
    <w:rsid w:val="00CB3A1C"/>
    <w:rsid w:val="00CB4E03"/>
    <w:rsid w:val="00CB7D69"/>
    <w:rsid w:val="00CC5019"/>
    <w:rsid w:val="00CC78C5"/>
    <w:rsid w:val="00CD2A2D"/>
    <w:rsid w:val="00CD31A2"/>
    <w:rsid w:val="00CD3FBA"/>
    <w:rsid w:val="00CD4905"/>
    <w:rsid w:val="00CD51BF"/>
    <w:rsid w:val="00CF0DF0"/>
    <w:rsid w:val="00CF238F"/>
    <w:rsid w:val="00CF398A"/>
    <w:rsid w:val="00CF49C8"/>
    <w:rsid w:val="00D004AF"/>
    <w:rsid w:val="00D00811"/>
    <w:rsid w:val="00D0597A"/>
    <w:rsid w:val="00D075CB"/>
    <w:rsid w:val="00D075D3"/>
    <w:rsid w:val="00D2589B"/>
    <w:rsid w:val="00D30DA7"/>
    <w:rsid w:val="00D33EA7"/>
    <w:rsid w:val="00D37ED0"/>
    <w:rsid w:val="00D420A5"/>
    <w:rsid w:val="00D47CD4"/>
    <w:rsid w:val="00D50C9A"/>
    <w:rsid w:val="00D51F4A"/>
    <w:rsid w:val="00D624F5"/>
    <w:rsid w:val="00D637C4"/>
    <w:rsid w:val="00D638DB"/>
    <w:rsid w:val="00D63B09"/>
    <w:rsid w:val="00D640BA"/>
    <w:rsid w:val="00D7647C"/>
    <w:rsid w:val="00D84BF0"/>
    <w:rsid w:val="00D96CDD"/>
    <w:rsid w:val="00D9744C"/>
    <w:rsid w:val="00DA2DEB"/>
    <w:rsid w:val="00DA3D0B"/>
    <w:rsid w:val="00DA5F17"/>
    <w:rsid w:val="00DB3274"/>
    <w:rsid w:val="00DC171F"/>
    <w:rsid w:val="00DC2ECB"/>
    <w:rsid w:val="00DC4A01"/>
    <w:rsid w:val="00DD5ACA"/>
    <w:rsid w:val="00DE0AD2"/>
    <w:rsid w:val="00DE235E"/>
    <w:rsid w:val="00DE2C33"/>
    <w:rsid w:val="00DE55CC"/>
    <w:rsid w:val="00DE6AEA"/>
    <w:rsid w:val="00DF1369"/>
    <w:rsid w:val="00E02D7C"/>
    <w:rsid w:val="00E066CC"/>
    <w:rsid w:val="00E07F08"/>
    <w:rsid w:val="00E1130E"/>
    <w:rsid w:val="00E14A2C"/>
    <w:rsid w:val="00E15F24"/>
    <w:rsid w:val="00E20932"/>
    <w:rsid w:val="00E23DE4"/>
    <w:rsid w:val="00E26FBA"/>
    <w:rsid w:val="00E36CF5"/>
    <w:rsid w:val="00E4063F"/>
    <w:rsid w:val="00E4364A"/>
    <w:rsid w:val="00E439CA"/>
    <w:rsid w:val="00E51A95"/>
    <w:rsid w:val="00E530BB"/>
    <w:rsid w:val="00E61C8E"/>
    <w:rsid w:val="00E63AB2"/>
    <w:rsid w:val="00E6483F"/>
    <w:rsid w:val="00E648AC"/>
    <w:rsid w:val="00E77053"/>
    <w:rsid w:val="00E8482B"/>
    <w:rsid w:val="00E87E43"/>
    <w:rsid w:val="00E95FA8"/>
    <w:rsid w:val="00E963FA"/>
    <w:rsid w:val="00EA059B"/>
    <w:rsid w:val="00EA3E13"/>
    <w:rsid w:val="00EA6765"/>
    <w:rsid w:val="00EC4ABB"/>
    <w:rsid w:val="00ED4DD7"/>
    <w:rsid w:val="00ED5517"/>
    <w:rsid w:val="00EE1591"/>
    <w:rsid w:val="00EE3D25"/>
    <w:rsid w:val="00EE4015"/>
    <w:rsid w:val="00EE5174"/>
    <w:rsid w:val="00EF26A8"/>
    <w:rsid w:val="00F14630"/>
    <w:rsid w:val="00F1499F"/>
    <w:rsid w:val="00F15830"/>
    <w:rsid w:val="00F235A6"/>
    <w:rsid w:val="00F237FA"/>
    <w:rsid w:val="00F24A50"/>
    <w:rsid w:val="00F25843"/>
    <w:rsid w:val="00F25C53"/>
    <w:rsid w:val="00F3001C"/>
    <w:rsid w:val="00F30CA4"/>
    <w:rsid w:val="00F43331"/>
    <w:rsid w:val="00F4333C"/>
    <w:rsid w:val="00F515D3"/>
    <w:rsid w:val="00F57A69"/>
    <w:rsid w:val="00F63285"/>
    <w:rsid w:val="00F655ED"/>
    <w:rsid w:val="00F671C7"/>
    <w:rsid w:val="00F70E0B"/>
    <w:rsid w:val="00F710C5"/>
    <w:rsid w:val="00F7321E"/>
    <w:rsid w:val="00F73EC4"/>
    <w:rsid w:val="00F75A36"/>
    <w:rsid w:val="00F83AAD"/>
    <w:rsid w:val="00F852E8"/>
    <w:rsid w:val="00F86C89"/>
    <w:rsid w:val="00F87226"/>
    <w:rsid w:val="00F9125E"/>
    <w:rsid w:val="00F952C0"/>
    <w:rsid w:val="00F97B84"/>
    <w:rsid w:val="00FA1B47"/>
    <w:rsid w:val="00FA2139"/>
    <w:rsid w:val="00FB1FAE"/>
    <w:rsid w:val="00FC2BAC"/>
    <w:rsid w:val="00FD7ABA"/>
    <w:rsid w:val="00FE1663"/>
    <w:rsid w:val="00FE325D"/>
    <w:rsid w:val="00FF07F5"/>
    <w:rsid w:val="00FF15FB"/>
    <w:rsid w:val="00FF49C6"/>
    <w:rsid w:val="00FF66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CE2C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68"/>
    <w:rPr>
      <w:lang w:val="en-GB"/>
    </w:rPr>
  </w:style>
  <w:style w:type="paragraph" w:styleId="Heading1">
    <w:name w:val="heading 1"/>
    <w:aliases w:val="Heading1_Titre1"/>
    <w:basedOn w:val="Normal"/>
    <w:next w:val="Normal"/>
    <w:link w:val="Heading1Char"/>
    <w:qFormat/>
    <w:rsid w:val="00067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2_Titre2"/>
    <w:basedOn w:val="Normal"/>
    <w:next w:val="Normal"/>
    <w:link w:val="Heading2Char"/>
    <w:unhideWhenUsed/>
    <w:qFormat/>
    <w:rsid w:val="00067B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3_Titre3"/>
    <w:basedOn w:val="Normal"/>
    <w:next w:val="Normal"/>
    <w:link w:val="Heading3Char"/>
    <w:unhideWhenUsed/>
    <w:qFormat/>
    <w:rsid w:val="00067B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4_Titre4"/>
    <w:basedOn w:val="Normal"/>
    <w:next w:val="Normal"/>
    <w:link w:val="Heading4Char"/>
    <w:unhideWhenUsed/>
    <w:qFormat/>
    <w:rsid w:val="00067B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7B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7B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7B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B6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7B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B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B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1"/>
    <w:qFormat/>
    <w:rsid w:val="00067B68"/>
    <w:pPr>
      <w:ind w:left="720"/>
      <w:contextualSpacing/>
    </w:pPr>
  </w:style>
  <w:style w:type="character" w:customStyle="1" w:styleId="Heading1Char">
    <w:name w:val="Heading 1 Char"/>
    <w:aliases w:val="Heading1_Titre1 Char"/>
    <w:basedOn w:val="DefaultParagraphFont"/>
    <w:link w:val="Heading1"/>
    <w:uiPriority w:val="9"/>
    <w:rsid w:val="00067B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2_Titre2 Char"/>
    <w:basedOn w:val="DefaultParagraphFont"/>
    <w:link w:val="Heading2"/>
    <w:uiPriority w:val="9"/>
    <w:rsid w:val="00067B68"/>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uiPriority w:val="99"/>
    <w:unhideWhenUsed/>
    <w:rsid w:val="00C51EA0"/>
    <w:pPr>
      <w:ind w:left="240" w:hanging="240"/>
    </w:pPr>
    <w:rPr>
      <w:sz w:val="18"/>
      <w:szCs w:val="18"/>
    </w:rPr>
  </w:style>
  <w:style w:type="paragraph" w:styleId="Index2">
    <w:name w:val="index 2"/>
    <w:basedOn w:val="Normal"/>
    <w:next w:val="Normal"/>
    <w:autoRedefine/>
    <w:uiPriority w:val="99"/>
    <w:unhideWhenUsed/>
    <w:rsid w:val="00C51EA0"/>
    <w:pPr>
      <w:ind w:left="480" w:hanging="240"/>
    </w:pPr>
    <w:rPr>
      <w:sz w:val="18"/>
      <w:szCs w:val="18"/>
    </w:rPr>
  </w:style>
  <w:style w:type="paragraph" w:styleId="Index3">
    <w:name w:val="index 3"/>
    <w:basedOn w:val="Normal"/>
    <w:next w:val="Normal"/>
    <w:autoRedefine/>
    <w:uiPriority w:val="99"/>
    <w:unhideWhenUsed/>
    <w:rsid w:val="00C51EA0"/>
    <w:pPr>
      <w:ind w:left="720" w:hanging="240"/>
    </w:pPr>
    <w:rPr>
      <w:sz w:val="18"/>
      <w:szCs w:val="18"/>
    </w:rPr>
  </w:style>
  <w:style w:type="paragraph" w:styleId="Index4">
    <w:name w:val="index 4"/>
    <w:basedOn w:val="Normal"/>
    <w:next w:val="Normal"/>
    <w:autoRedefine/>
    <w:uiPriority w:val="99"/>
    <w:unhideWhenUsed/>
    <w:rsid w:val="00C51EA0"/>
    <w:pPr>
      <w:ind w:left="960" w:hanging="240"/>
    </w:pPr>
    <w:rPr>
      <w:sz w:val="18"/>
      <w:szCs w:val="18"/>
    </w:rPr>
  </w:style>
  <w:style w:type="paragraph" w:styleId="Index5">
    <w:name w:val="index 5"/>
    <w:basedOn w:val="Normal"/>
    <w:next w:val="Normal"/>
    <w:autoRedefine/>
    <w:uiPriority w:val="99"/>
    <w:unhideWhenUsed/>
    <w:rsid w:val="00C51EA0"/>
    <w:pPr>
      <w:ind w:left="1200" w:hanging="240"/>
    </w:pPr>
    <w:rPr>
      <w:sz w:val="18"/>
      <w:szCs w:val="18"/>
    </w:rPr>
  </w:style>
  <w:style w:type="paragraph" w:styleId="Index6">
    <w:name w:val="index 6"/>
    <w:basedOn w:val="Normal"/>
    <w:next w:val="Normal"/>
    <w:autoRedefine/>
    <w:uiPriority w:val="99"/>
    <w:unhideWhenUsed/>
    <w:rsid w:val="00C51EA0"/>
    <w:pPr>
      <w:ind w:left="1440" w:hanging="240"/>
    </w:pPr>
    <w:rPr>
      <w:sz w:val="18"/>
      <w:szCs w:val="18"/>
    </w:rPr>
  </w:style>
  <w:style w:type="paragraph" w:styleId="Index7">
    <w:name w:val="index 7"/>
    <w:basedOn w:val="Normal"/>
    <w:next w:val="Normal"/>
    <w:autoRedefine/>
    <w:uiPriority w:val="99"/>
    <w:unhideWhenUsed/>
    <w:rsid w:val="00C51EA0"/>
    <w:pPr>
      <w:ind w:left="1680" w:hanging="240"/>
    </w:pPr>
    <w:rPr>
      <w:sz w:val="18"/>
      <w:szCs w:val="18"/>
    </w:rPr>
  </w:style>
  <w:style w:type="paragraph" w:styleId="Index8">
    <w:name w:val="index 8"/>
    <w:basedOn w:val="Normal"/>
    <w:next w:val="Normal"/>
    <w:autoRedefine/>
    <w:uiPriority w:val="99"/>
    <w:unhideWhenUsed/>
    <w:rsid w:val="00C51EA0"/>
    <w:pPr>
      <w:ind w:left="1920" w:hanging="240"/>
    </w:pPr>
    <w:rPr>
      <w:sz w:val="18"/>
      <w:szCs w:val="18"/>
    </w:rPr>
  </w:style>
  <w:style w:type="paragraph" w:styleId="Index9">
    <w:name w:val="index 9"/>
    <w:basedOn w:val="Normal"/>
    <w:next w:val="Normal"/>
    <w:autoRedefine/>
    <w:uiPriority w:val="99"/>
    <w:unhideWhenUsed/>
    <w:rsid w:val="00C51EA0"/>
    <w:pPr>
      <w:ind w:left="2160" w:hanging="240"/>
    </w:pPr>
    <w:rPr>
      <w:sz w:val="18"/>
      <w:szCs w:val="18"/>
    </w:rPr>
  </w:style>
  <w:style w:type="paragraph" w:styleId="IndexHeading">
    <w:name w:val="index heading"/>
    <w:basedOn w:val="Normal"/>
    <w:next w:val="Index1"/>
    <w:uiPriority w:val="99"/>
    <w:unhideWhenUsed/>
    <w:rsid w:val="00C51EA0"/>
    <w:pPr>
      <w:spacing w:before="240" w:after="120"/>
      <w:jc w:val="center"/>
    </w:pPr>
    <w:rPr>
      <w:b/>
      <w:sz w:val="26"/>
      <w:szCs w:val="26"/>
    </w:rPr>
  </w:style>
  <w:style w:type="paragraph" w:styleId="TOC1">
    <w:name w:val="toc 1"/>
    <w:basedOn w:val="Normal"/>
    <w:next w:val="Normal"/>
    <w:autoRedefine/>
    <w:uiPriority w:val="39"/>
    <w:unhideWhenUsed/>
    <w:rsid w:val="009C3DAF"/>
    <w:pPr>
      <w:tabs>
        <w:tab w:val="left" w:pos="438"/>
        <w:tab w:val="right" w:leader="dot" w:pos="8290"/>
      </w:tabs>
      <w:spacing w:before="120" w:after="0" w:line="300" w:lineRule="auto"/>
    </w:pPr>
    <w:rPr>
      <w:rFonts w:ascii="Cambria" w:hAnsi="Cambria"/>
      <w:b/>
      <w:noProof/>
      <w:color w:val="548DD4"/>
    </w:rPr>
  </w:style>
  <w:style w:type="paragraph" w:styleId="TOC2">
    <w:name w:val="toc 2"/>
    <w:basedOn w:val="Normal"/>
    <w:next w:val="Normal"/>
    <w:autoRedefine/>
    <w:uiPriority w:val="39"/>
    <w:unhideWhenUsed/>
    <w:rsid w:val="00994A76"/>
    <w:pPr>
      <w:tabs>
        <w:tab w:val="left" w:pos="574"/>
        <w:tab w:val="right" w:leader="dot" w:pos="8290"/>
      </w:tabs>
      <w:spacing w:after="0" w:line="360" w:lineRule="auto"/>
    </w:pPr>
  </w:style>
  <w:style w:type="paragraph" w:styleId="TOC3">
    <w:name w:val="toc 3"/>
    <w:basedOn w:val="Normal"/>
    <w:next w:val="Normal"/>
    <w:autoRedefine/>
    <w:uiPriority w:val="39"/>
    <w:unhideWhenUsed/>
    <w:rsid w:val="00723760"/>
    <w:pPr>
      <w:tabs>
        <w:tab w:val="left" w:pos="1100"/>
        <w:tab w:val="right" w:leader="dot" w:pos="8222"/>
      </w:tabs>
      <w:spacing w:after="0"/>
      <w:ind w:left="220"/>
    </w:pPr>
    <w:rPr>
      <w:i/>
    </w:rPr>
  </w:style>
  <w:style w:type="paragraph" w:styleId="TOC4">
    <w:name w:val="toc 4"/>
    <w:basedOn w:val="Normal"/>
    <w:next w:val="Normal"/>
    <w:autoRedefine/>
    <w:uiPriority w:val="39"/>
    <w:unhideWhenUsed/>
    <w:rsid w:val="00C51EA0"/>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C51EA0"/>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C51EA0"/>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C51EA0"/>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C51EA0"/>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C51EA0"/>
    <w:pPr>
      <w:pBdr>
        <w:between w:val="double" w:sz="6" w:space="0" w:color="auto"/>
      </w:pBdr>
      <w:spacing w:after="0"/>
      <w:ind w:left="1540"/>
    </w:pPr>
    <w:rPr>
      <w:sz w:val="20"/>
      <w:szCs w:val="20"/>
    </w:rPr>
  </w:style>
  <w:style w:type="paragraph" w:styleId="Header">
    <w:name w:val="header"/>
    <w:basedOn w:val="Normal"/>
    <w:link w:val="HeaderChar"/>
    <w:uiPriority w:val="99"/>
    <w:unhideWhenUsed/>
    <w:rsid w:val="008F02B9"/>
    <w:pPr>
      <w:tabs>
        <w:tab w:val="center" w:pos="4153"/>
        <w:tab w:val="right" w:pos="8306"/>
      </w:tabs>
    </w:pPr>
  </w:style>
  <w:style w:type="character" w:customStyle="1" w:styleId="HeaderChar">
    <w:name w:val="Header Char"/>
    <w:basedOn w:val="DefaultParagraphFont"/>
    <w:link w:val="Header"/>
    <w:uiPriority w:val="99"/>
    <w:rsid w:val="008F02B9"/>
    <w:rPr>
      <w:lang w:val="en-US"/>
    </w:rPr>
  </w:style>
  <w:style w:type="paragraph" w:styleId="Footer">
    <w:name w:val="footer"/>
    <w:basedOn w:val="Normal"/>
    <w:link w:val="FooterChar"/>
    <w:uiPriority w:val="99"/>
    <w:unhideWhenUsed/>
    <w:rsid w:val="008F02B9"/>
    <w:pPr>
      <w:tabs>
        <w:tab w:val="center" w:pos="4153"/>
        <w:tab w:val="right" w:pos="8306"/>
      </w:tabs>
    </w:pPr>
  </w:style>
  <w:style w:type="character" w:customStyle="1" w:styleId="FooterChar">
    <w:name w:val="Footer Char"/>
    <w:basedOn w:val="DefaultParagraphFont"/>
    <w:link w:val="Footer"/>
    <w:uiPriority w:val="99"/>
    <w:rsid w:val="008F02B9"/>
    <w:rPr>
      <w:lang w:val="en-US"/>
    </w:rPr>
  </w:style>
  <w:style w:type="character" w:customStyle="1" w:styleId="Heading3Char">
    <w:name w:val="Heading 3 Char"/>
    <w:aliases w:val="Heading3_Titre3 Char"/>
    <w:basedOn w:val="DefaultParagraphFont"/>
    <w:link w:val="Heading3"/>
    <w:uiPriority w:val="9"/>
    <w:rsid w:val="00067B68"/>
    <w:rPr>
      <w:rFonts w:asciiTheme="majorHAnsi" w:eastAsiaTheme="majorEastAsia" w:hAnsiTheme="majorHAnsi" w:cstheme="majorBidi"/>
      <w:b/>
      <w:bCs/>
      <w:color w:val="4F81BD" w:themeColor="accent1"/>
    </w:rPr>
  </w:style>
  <w:style w:type="character" w:customStyle="1" w:styleId="Heading4Char">
    <w:name w:val="Heading 4 Char"/>
    <w:aliases w:val="Heading4_Titre4 Char"/>
    <w:basedOn w:val="DefaultParagraphFont"/>
    <w:link w:val="Heading4"/>
    <w:uiPriority w:val="9"/>
    <w:rsid w:val="00067B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7B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7B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7B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B6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67B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B68"/>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67B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7B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67B68"/>
    <w:rPr>
      <w:b/>
      <w:bCs/>
    </w:rPr>
  </w:style>
  <w:style w:type="character" w:styleId="Emphasis">
    <w:name w:val="Emphasis"/>
    <w:basedOn w:val="DefaultParagraphFont"/>
    <w:uiPriority w:val="20"/>
    <w:qFormat/>
    <w:rsid w:val="00067B68"/>
    <w:rPr>
      <w:i/>
      <w:iCs/>
    </w:rPr>
  </w:style>
  <w:style w:type="paragraph" w:styleId="NoSpacing">
    <w:name w:val="No Spacing"/>
    <w:link w:val="NoSpacingChar"/>
    <w:uiPriority w:val="1"/>
    <w:qFormat/>
    <w:rsid w:val="00067B68"/>
    <w:pPr>
      <w:spacing w:after="0" w:line="240" w:lineRule="auto"/>
    </w:pPr>
  </w:style>
  <w:style w:type="paragraph" w:styleId="Quote">
    <w:name w:val="Quote"/>
    <w:basedOn w:val="Normal"/>
    <w:next w:val="Normal"/>
    <w:link w:val="QuoteChar"/>
    <w:uiPriority w:val="29"/>
    <w:qFormat/>
    <w:rsid w:val="00067B68"/>
    <w:rPr>
      <w:i/>
      <w:iCs/>
      <w:color w:val="000000" w:themeColor="text1"/>
    </w:rPr>
  </w:style>
  <w:style w:type="character" w:customStyle="1" w:styleId="QuoteChar">
    <w:name w:val="Quote Char"/>
    <w:basedOn w:val="DefaultParagraphFont"/>
    <w:link w:val="Quote"/>
    <w:uiPriority w:val="29"/>
    <w:rsid w:val="00067B68"/>
    <w:rPr>
      <w:i/>
      <w:iCs/>
      <w:color w:val="000000" w:themeColor="text1"/>
    </w:rPr>
  </w:style>
  <w:style w:type="paragraph" w:styleId="IntenseQuote">
    <w:name w:val="Intense Quote"/>
    <w:basedOn w:val="Normal"/>
    <w:next w:val="Normal"/>
    <w:link w:val="IntenseQuoteChar"/>
    <w:uiPriority w:val="30"/>
    <w:qFormat/>
    <w:rsid w:val="00067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7B68"/>
    <w:rPr>
      <w:b/>
      <w:bCs/>
      <w:i/>
      <w:iCs/>
      <w:color w:val="4F81BD" w:themeColor="accent1"/>
    </w:rPr>
  </w:style>
  <w:style w:type="character" w:styleId="SubtleEmphasis">
    <w:name w:val="Subtle Emphasis"/>
    <w:basedOn w:val="DefaultParagraphFont"/>
    <w:uiPriority w:val="19"/>
    <w:qFormat/>
    <w:rsid w:val="00067B68"/>
    <w:rPr>
      <w:i/>
      <w:iCs/>
      <w:color w:val="808080" w:themeColor="text1" w:themeTint="7F"/>
    </w:rPr>
  </w:style>
  <w:style w:type="character" w:styleId="IntenseEmphasis">
    <w:name w:val="Intense Emphasis"/>
    <w:basedOn w:val="DefaultParagraphFont"/>
    <w:uiPriority w:val="21"/>
    <w:qFormat/>
    <w:rsid w:val="00067B68"/>
    <w:rPr>
      <w:b/>
      <w:bCs/>
      <w:i/>
      <w:iCs/>
      <w:color w:val="4F81BD" w:themeColor="accent1"/>
    </w:rPr>
  </w:style>
  <w:style w:type="character" w:styleId="SubtleReference">
    <w:name w:val="Subtle Reference"/>
    <w:basedOn w:val="DefaultParagraphFont"/>
    <w:uiPriority w:val="31"/>
    <w:qFormat/>
    <w:rsid w:val="00067B68"/>
    <w:rPr>
      <w:smallCaps/>
      <w:color w:val="C0504D" w:themeColor="accent2"/>
      <w:u w:val="single"/>
    </w:rPr>
  </w:style>
  <w:style w:type="character" w:styleId="IntenseReference">
    <w:name w:val="Intense Reference"/>
    <w:basedOn w:val="DefaultParagraphFont"/>
    <w:uiPriority w:val="32"/>
    <w:qFormat/>
    <w:rsid w:val="00067B68"/>
    <w:rPr>
      <w:b/>
      <w:bCs/>
      <w:smallCaps/>
      <w:color w:val="C0504D" w:themeColor="accent2"/>
      <w:spacing w:val="5"/>
      <w:u w:val="single"/>
    </w:rPr>
  </w:style>
  <w:style w:type="character" w:styleId="BookTitle">
    <w:name w:val="Book Title"/>
    <w:basedOn w:val="DefaultParagraphFont"/>
    <w:uiPriority w:val="33"/>
    <w:qFormat/>
    <w:rsid w:val="00067B68"/>
    <w:rPr>
      <w:b/>
      <w:bCs/>
      <w:smallCaps/>
      <w:spacing w:val="5"/>
    </w:rPr>
  </w:style>
  <w:style w:type="paragraph" w:styleId="TOCHeading">
    <w:name w:val="TOC Heading"/>
    <w:basedOn w:val="Heading1"/>
    <w:next w:val="Normal"/>
    <w:uiPriority w:val="39"/>
    <w:semiHidden/>
    <w:unhideWhenUsed/>
    <w:qFormat/>
    <w:rsid w:val="00067B68"/>
    <w:pPr>
      <w:outlineLvl w:val="9"/>
    </w:pPr>
  </w:style>
  <w:style w:type="character" w:customStyle="1" w:styleId="NoSpacingChar">
    <w:name w:val="No Spacing Char"/>
    <w:basedOn w:val="DefaultParagraphFont"/>
    <w:link w:val="NoSpacing"/>
    <w:uiPriority w:val="1"/>
    <w:rsid w:val="00067B68"/>
  </w:style>
  <w:style w:type="paragraph" w:customStyle="1" w:styleId="Default">
    <w:name w:val="Default"/>
    <w:rsid w:val="0025636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level5">
    <w:name w:val="level5"/>
    <w:rsid w:val="007D2069"/>
    <w:pPr>
      <w:tabs>
        <w:tab w:val="num" w:pos="1389"/>
      </w:tabs>
      <w:spacing w:after="0" w:line="240" w:lineRule="auto"/>
      <w:ind w:left="1389" w:hanging="453"/>
    </w:pPr>
    <w:rPr>
      <w:rFonts w:ascii="Times New Roman" w:eastAsia="Times New Roman" w:hAnsi="Times New Roman" w:cs="Times New Roman"/>
      <w:sz w:val="24"/>
      <w:szCs w:val="24"/>
      <w:lang w:val="en-GB"/>
    </w:rPr>
  </w:style>
  <w:style w:type="paragraph" w:customStyle="1" w:styleId="level6">
    <w:name w:val="level6"/>
    <w:rsid w:val="007D2069"/>
    <w:pPr>
      <w:tabs>
        <w:tab w:val="num" w:pos="1843"/>
      </w:tabs>
      <w:spacing w:before="120" w:after="0" w:line="240" w:lineRule="auto"/>
      <w:ind w:left="1843" w:hanging="454"/>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13A9B"/>
    <w:rPr>
      <w:sz w:val="16"/>
      <w:szCs w:val="16"/>
    </w:rPr>
  </w:style>
  <w:style w:type="paragraph" w:styleId="CommentText">
    <w:name w:val="annotation text"/>
    <w:basedOn w:val="Normal"/>
    <w:link w:val="CommentTextChar"/>
    <w:uiPriority w:val="99"/>
    <w:unhideWhenUsed/>
    <w:rsid w:val="00713A9B"/>
    <w:pPr>
      <w:spacing w:line="240" w:lineRule="auto"/>
    </w:pPr>
    <w:rPr>
      <w:sz w:val="20"/>
      <w:szCs w:val="20"/>
    </w:rPr>
  </w:style>
  <w:style w:type="character" w:customStyle="1" w:styleId="CommentTextChar">
    <w:name w:val="Comment Text Char"/>
    <w:basedOn w:val="DefaultParagraphFont"/>
    <w:link w:val="CommentText"/>
    <w:uiPriority w:val="99"/>
    <w:rsid w:val="00713A9B"/>
    <w:rPr>
      <w:sz w:val="20"/>
      <w:szCs w:val="20"/>
      <w:lang w:val="en-GB"/>
    </w:rPr>
  </w:style>
  <w:style w:type="paragraph" w:styleId="CommentSubject">
    <w:name w:val="annotation subject"/>
    <w:basedOn w:val="CommentText"/>
    <w:next w:val="CommentText"/>
    <w:link w:val="CommentSubjectChar"/>
    <w:uiPriority w:val="99"/>
    <w:semiHidden/>
    <w:unhideWhenUsed/>
    <w:rsid w:val="00713A9B"/>
    <w:rPr>
      <w:b/>
      <w:bCs/>
    </w:rPr>
  </w:style>
  <w:style w:type="character" w:customStyle="1" w:styleId="CommentSubjectChar">
    <w:name w:val="Comment Subject Char"/>
    <w:basedOn w:val="CommentTextChar"/>
    <w:link w:val="CommentSubject"/>
    <w:uiPriority w:val="99"/>
    <w:semiHidden/>
    <w:rsid w:val="00713A9B"/>
    <w:rPr>
      <w:b/>
      <w:bCs/>
      <w:sz w:val="20"/>
      <w:szCs w:val="20"/>
      <w:lang w:val="en-GB"/>
    </w:rPr>
  </w:style>
  <w:style w:type="paragraph" w:styleId="BalloonText">
    <w:name w:val="Balloon Text"/>
    <w:basedOn w:val="Normal"/>
    <w:link w:val="BalloonTextChar"/>
    <w:uiPriority w:val="99"/>
    <w:semiHidden/>
    <w:unhideWhenUsed/>
    <w:rsid w:val="0071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9B"/>
    <w:rPr>
      <w:rFonts w:ascii="Tahoma" w:hAnsi="Tahoma" w:cs="Tahoma"/>
      <w:sz w:val="16"/>
      <w:szCs w:val="16"/>
      <w:lang w:val="en-GB"/>
    </w:rPr>
  </w:style>
  <w:style w:type="paragraph" w:styleId="NormalWeb">
    <w:name w:val="Normal (Web)"/>
    <w:basedOn w:val="Normal"/>
    <w:uiPriority w:val="99"/>
    <w:unhideWhenUsed/>
    <w:rsid w:val="0054502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047F20"/>
    <w:rPr>
      <w:color w:val="0000FF" w:themeColor="hyperlink"/>
      <w:u w:val="single"/>
    </w:rPr>
  </w:style>
  <w:style w:type="paragraph" w:styleId="Revision">
    <w:name w:val="Revision"/>
    <w:hidden/>
    <w:uiPriority w:val="99"/>
    <w:semiHidden/>
    <w:rsid w:val="0068657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68"/>
    <w:rPr>
      <w:lang w:val="en-GB"/>
    </w:rPr>
  </w:style>
  <w:style w:type="paragraph" w:styleId="Heading1">
    <w:name w:val="heading 1"/>
    <w:aliases w:val="Heading1_Titre1"/>
    <w:basedOn w:val="Normal"/>
    <w:next w:val="Normal"/>
    <w:link w:val="Heading1Char"/>
    <w:qFormat/>
    <w:rsid w:val="00067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2_Titre2"/>
    <w:basedOn w:val="Normal"/>
    <w:next w:val="Normal"/>
    <w:link w:val="Heading2Char"/>
    <w:unhideWhenUsed/>
    <w:qFormat/>
    <w:rsid w:val="00067B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3_Titre3"/>
    <w:basedOn w:val="Normal"/>
    <w:next w:val="Normal"/>
    <w:link w:val="Heading3Char"/>
    <w:unhideWhenUsed/>
    <w:qFormat/>
    <w:rsid w:val="00067B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4_Titre4"/>
    <w:basedOn w:val="Normal"/>
    <w:next w:val="Normal"/>
    <w:link w:val="Heading4Char"/>
    <w:unhideWhenUsed/>
    <w:qFormat/>
    <w:rsid w:val="00067B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7B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7B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7B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B6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7B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B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B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1"/>
    <w:qFormat/>
    <w:rsid w:val="00067B68"/>
    <w:pPr>
      <w:ind w:left="720"/>
      <w:contextualSpacing/>
    </w:pPr>
  </w:style>
  <w:style w:type="character" w:customStyle="1" w:styleId="Heading1Char">
    <w:name w:val="Heading 1 Char"/>
    <w:aliases w:val="Heading1_Titre1 Char"/>
    <w:basedOn w:val="DefaultParagraphFont"/>
    <w:link w:val="Heading1"/>
    <w:uiPriority w:val="9"/>
    <w:rsid w:val="00067B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2_Titre2 Char"/>
    <w:basedOn w:val="DefaultParagraphFont"/>
    <w:link w:val="Heading2"/>
    <w:uiPriority w:val="9"/>
    <w:rsid w:val="00067B68"/>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uiPriority w:val="99"/>
    <w:unhideWhenUsed/>
    <w:rsid w:val="00C51EA0"/>
    <w:pPr>
      <w:ind w:left="240" w:hanging="240"/>
    </w:pPr>
    <w:rPr>
      <w:sz w:val="18"/>
      <w:szCs w:val="18"/>
    </w:rPr>
  </w:style>
  <w:style w:type="paragraph" w:styleId="Index2">
    <w:name w:val="index 2"/>
    <w:basedOn w:val="Normal"/>
    <w:next w:val="Normal"/>
    <w:autoRedefine/>
    <w:uiPriority w:val="99"/>
    <w:unhideWhenUsed/>
    <w:rsid w:val="00C51EA0"/>
    <w:pPr>
      <w:ind w:left="480" w:hanging="240"/>
    </w:pPr>
    <w:rPr>
      <w:sz w:val="18"/>
      <w:szCs w:val="18"/>
    </w:rPr>
  </w:style>
  <w:style w:type="paragraph" w:styleId="Index3">
    <w:name w:val="index 3"/>
    <w:basedOn w:val="Normal"/>
    <w:next w:val="Normal"/>
    <w:autoRedefine/>
    <w:uiPriority w:val="99"/>
    <w:unhideWhenUsed/>
    <w:rsid w:val="00C51EA0"/>
    <w:pPr>
      <w:ind w:left="720" w:hanging="240"/>
    </w:pPr>
    <w:rPr>
      <w:sz w:val="18"/>
      <w:szCs w:val="18"/>
    </w:rPr>
  </w:style>
  <w:style w:type="paragraph" w:styleId="Index4">
    <w:name w:val="index 4"/>
    <w:basedOn w:val="Normal"/>
    <w:next w:val="Normal"/>
    <w:autoRedefine/>
    <w:uiPriority w:val="99"/>
    <w:unhideWhenUsed/>
    <w:rsid w:val="00C51EA0"/>
    <w:pPr>
      <w:ind w:left="960" w:hanging="240"/>
    </w:pPr>
    <w:rPr>
      <w:sz w:val="18"/>
      <w:szCs w:val="18"/>
    </w:rPr>
  </w:style>
  <w:style w:type="paragraph" w:styleId="Index5">
    <w:name w:val="index 5"/>
    <w:basedOn w:val="Normal"/>
    <w:next w:val="Normal"/>
    <w:autoRedefine/>
    <w:uiPriority w:val="99"/>
    <w:unhideWhenUsed/>
    <w:rsid w:val="00C51EA0"/>
    <w:pPr>
      <w:ind w:left="1200" w:hanging="240"/>
    </w:pPr>
    <w:rPr>
      <w:sz w:val="18"/>
      <w:szCs w:val="18"/>
    </w:rPr>
  </w:style>
  <w:style w:type="paragraph" w:styleId="Index6">
    <w:name w:val="index 6"/>
    <w:basedOn w:val="Normal"/>
    <w:next w:val="Normal"/>
    <w:autoRedefine/>
    <w:uiPriority w:val="99"/>
    <w:unhideWhenUsed/>
    <w:rsid w:val="00C51EA0"/>
    <w:pPr>
      <w:ind w:left="1440" w:hanging="240"/>
    </w:pPr>
    <w:rPr>
      <w:sz w:val="18"/>
      <w:szCs w:val="18"/>
    </w:rPr>
  </w:style>
  <w:style w:type="paragraph" w:styleId="Index7">
    <w:name w:val="index 7"/>
    <w:basedOn w:val="Normal"/>
    <w:next w:val="Normal"/>
    <w:autoRedefine/>
    <w:uiPriority w:val="99"/>
    <w:unhideWhenUsed/>
    <w:rsid w:val="00C51EA0"/>
    <w:pPr>
      <w:ind w:left="1680" w:hanging="240"/>
    </w:pPr>
    <w:rPr>
      <w:sz w:val="18"/>
      <w:szCs w:val="18"/>
    </w:rPr>
  </w:style>
  <w:style w:type="paragraph" w:styleId="Index8">
    <w:name w:val="index 8"/>
    <w:basedOn w:val="Normal"/>
    <w:next w:val="Normal"/>
    <w:autoRedefine/>
    <w:uiPriority w:val="99"/>
    <w:unhideWhenUsed/>
    <w:rsid w:val="00C51EA0"/>
    <w:pPr>
      <w:ind w:left="1920" w:hanging="240"/>
    </w:pPr>
    <w:rPr>
      <w:sz w:val="18"/>
      <w:szCs w:val="18"/>
    </w:rPr>
  </w:style>
  <w:style w:type="paragraph" w:styleId="Index9">
    <w:name w:val="index 9"/>
    <w:basedOn w:val="Normal"/>
    <w:next w:val="Normal"/>
    <w:autoRedefine/>
    <w:uiPriority w:val="99"/>
    <w:unhideWhenUsed/>
    <w:rsid w:val="00C51EA0"/>
    <w:pPr>
      <w:ind w:left="2160" w:hanging="240"/>
    </w:pPr>
    <w:rPr>
      <w:sz w:val="18"/>
      <w:szCs w:val="18"/>
    </w:rPr>
  </w:style>
  <w:style w:type="paragraph" w:styleId="IndexHeading">
    <w:name w:val="index heading"/>
    <w:basedOn w:val="Normal"/>
    <w:next w:val="Index1"/>
    <w:uiPriority w:val="99"/>
    <w:unhideWhenUsed/>
    <w:rsid w:val="00C51EA0"/>
    <w:pPr>
      <w:spacing w:before="240" w:after="120"/>
      <w:jc w:val="center"/>
    </w:pPr>
    <w:rPr>
      <w:b/>
      <w:sz w:val="26"/>
      <w:szCs w:val="26"/>
    </w:rPr>
  </w:style>
  <w:style w:type="paragraph" w:styleId="TOC1">
    <w:name w:val="toc 1"/>
    <w:basedOn w:val="Normal"/>
    <w:next w:val="Normal"/>
    <w:autoRedefine/>
    <w:uiPriority w:val="39"/>
    <w:unhideWhenUsed/>
    <w:rsid w:val="009C3DAF"/>
    <w:pPr>
      <w:tabs>
        <w:tab w:val="left" w:pos="438"/>
        <w:tab w:val="right" w:leader="dot" w:pos="8290"/>
      </w:tabs>
      <w:spacing w:before="120" w:after="0" w:line="300" w:lineRule="auto"/>
    </w:pPr>
    <w:rPr>
      <w:rFonts w:ascii="Cambria" w:hAnsi="Cambria"/>
      <w:b/>
      <w:noProof/>
      <w:color w:val="548DD4"/>
    </w:rPr>
  </w:style>
  <w:style w:type="paragraph" w:styleId="TOC2">
    <w:name w:val="toc 2"/>
    <w:basedOn w:val="Normal"/>
    <w:next w:val="Normal"/>
    <w:autoRedefine/>
    <w:uiPriority w:val="39"/>
    <w:unhideWhenUsed/>
    <w:rsid w:val="00994A76"/>
    <w:pPr>
      <w:tabs>
        <w:tab w:val="left" w:pos="574"/>
        <w:tab w:val="right" w:leader="dot" w:pos="8290"/>
      </w:tabs>
      <w:spacing w:after="0" w:line="360" w:lineRule="auto"/>
    </w:pPr>
  </w:style>
  <w:style w:type="paragraph" w:styleId="TOC3">
    <w:name w:val="toc 3"/>
    <w:basedOn w:val="Normal"/>
    <w:next w:val="Normal"/>
    <w:autoRedefine/>
    <w:uiPriority w:val="39"/>
    <w:unhideWhenUsed/>
    <w:rsid w:val="00723760"/>
    <w:pPr>
      <w:tabs>
        <w:tab w:val="left" w:pos="1100"/>
        <w:tab w:val="right" w:leader="dot" w:pos="8222"/>
      </w:tabs>
      <w:spacing w:after="0"/>
      <w:ind w:left="220"/>
    </w:pPr>
    <w:rPr>
      <w:i/>
    </w:rPr>
  </w:style>
  <w:style w:type="paragraph" w:styleId="TOC4">
    <w:name w:val="toc 4"/>
    <w:basedOn w:val="Normal"/>
    <w:next w:val="Normal"/>
    <w:autoRedefine/>
    <w:uiPriority w:val="39"/>
    <w:unhideWhenUsed/>
    <w:rsid w:val="00C51EA0"/>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C51EA0"/>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C51EA0"/>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C51EA0"/>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C51EA0"/>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C51EA0"/>
    <w:pPr>
      <w:pBdr>
        <w:between w:val="double" w:sz="6" w:space="0" w:color="auto"/>
      </w:pBdr>
      <w:spacing w:after="0"/>
      <w:ind w:left="1540"/>
    </w:pPr>
    <w:rPr>
      <w:sz w:val="20"/>
      <w:szCs w:val="20"/>
    </w:rPr>
  </w:style>
  <w:style w:type="paragraph" w:styleId="Header">
    <w:name w:val="header"/>
    <w:basedOn w:val="Normal"/>
    <w:link w:val="HeaderChar"/>
    <w:uiPriority w:val="99"/>
    <w:unhideWhenUsed/>
    <w:rsid w:val="008F02B9"/>
    <w:pPr>
      <w:tabs>
        <w:tab w:val="center" w:pos="4153"/>
        <w:tab w:val="right" w:pos="8306"/>
      </w:tabs>
    </w:pPr>
  </w:style>
  <w:style w:type="character" w:customStyle="1" w:styleId="HeaderChar">
    <w:name w:val="Header Char"/>
    <w:basedOn w:val="DefaultParagraphFont"/>
    <w:link w:val="Header"/>
    <w:uiPriority w:val="99"/>
    <w:rsid w:val="008F02B9"/>
    <w:rPr>
      <w:lang w:val="en-US"/>
    </w:rPr>
  </w:style>
  <w:style w:type="paragraph" w:styleId="Footer">
    <w:name w:val="footer"/>
    <w:basedOn w:val="Normal"/>
    <w:link w:val="FooterChar"/>
    <w:uiPriority w:val="99"/>
    <w:unhideWhenUsed/>
    <w:rsid w:val="008F02B9"/>
    <w:pPr>
      <w:tabs>
        <w:tab w:val="center" w:pos="4153"/>
        <w:tab w:val="right" w:pos="8306"/>
      </w:tabs>
    </w:pPr>
  </w:style>
  <w:style w:type="character" w:customStyle="1" w:styleId="FooterChar">
    <w:name w:val="Footer Char"/>
    <w:basedOn w:val="DefaultParagraphFont"/>
    <w:link w:val="Footer"/>
    <w:uiPriority w:val="99"/>
    <w:rsid w:val="008F02B9"/>
    <w:rPr>
      <w:lang w:val="en-US"/>
    </w:rPr>
  </w:style>
  <w:style w:type="character" w:customStyle="1" w:styleId="Heading3Char">
    <w:name w:val="Heading 3 Char"/>
    <w:aliases w:val="Heading3_Titre3 Char"/>
    <w:basedOn w:val="DefaultParagraphFont"/>
    <w:link w:val="Heading3"/>
    <w:uiPriority w:val="9"/>
    <w:rsid w:val="00067B68"/>
    <w:rPr>
      <w:rFonts w:asciiTheme="majorHAnsi" w:eastAsiaTheme="majorEastAsia" w:hAnsiTheme="majorHAnsi" w:cstheme="majorBidi"/>
      <w:b/>
      <w:bCs/>
      <w:color w:val="4F81BD" w:themeColor="accent1"/>
    </w:rPr>
  </w:style>
  <w:style w:type="character" w:customStyle="1" w:styleId="Heading4Char">
    <w:name w:val="Heading 4 Char"/>
    <w:aliases w:val="Heading4_Titre4 Char"/>
    <w:basedOn w:val="DefaultParagraphFont"/>
    <w:link w:val="Heading4"/>
    <w:uiPriority w:val="9"/>
    <w:rsid w:val="00067B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7B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7B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7B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B6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67B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B68"/>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67B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7B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67B68"/>
    <w:rPr>
      <w:b/>
      <w:bCs/>
    </w:rPr>
  </w:style>
  <w:style w:type="character" w:styleId="Emphasis">
    <w:name w:val="Emphasis"/>
    <w:basedOn w:val="DefaultParagraphFont"/>
    <w:uiPriority w:val="20"/>
    <w:qFormat/>
    <w:rsid w:val="00067B68"/>
    <w:rPr>
      <w:i/>
      <w:iCs/>
    </w:rPr>
  </w:style>
  <w:style w:type="paragraph" w:styleId="NoSpacing">
    <w:name w:val="No Spacing"/>
    <w:link w:val="NoSpacingChar"/>
    <w:uiPriority w:val="1"/>
    <w:qFormat/>
    <w:rsid w:val="00067B68"/>
    <w:pPr>
      <w:spacing w:after="0" w:line="240" w:lineRule="auto"/>
    </w:pPr>
  </w:style>
  <w:style w:type="paragraph" w:styleId="Quote">
    <w:name w:val="Quote"/>
    <w:basedOn w:val="Normal"/>
    <w:next w:val="Normal"/>
    <w:link w:val="QuoteChar"/>
    <w:uiPriority w:val="29"/>
    <w:qFormat/>
    <w:rsid w:val="00067B68"/>
    <w:rPr>
      <w:i/>
      <w:iCs/>
      <w:color w:val="000000" w:themeColor="text1"/>
    </w:rPr>
  </w:style>
  <w:style w:type="character" w:customStyle="1" w:styleId="QuoteChar">
    <w:name w:val="Quote Char"/>
    <w:basedOn w:val="DefaultParagraphFont"/>
    <w:link w:val="Quote"/>
    <w:uiPriority w:val="29"/>
    <w:rsid w:val="00067B68"/>
    <w:rPr>
      <w:i/>
      <w:iCs/>
      <w:color w:val="000000" w:themeColor="text1"/>
    </w:rPr>
  </w:style>
  <w:style w:type="paragraph" w:styleId="IntenseQuote">
    <w:name w:val="Intense Quote"/>
    <w:basedOn w:val="Normal"/>
    <w:next w:val="Normal"/>
    <w:link w:val="IntenseQuoteChar"/>
    <w:uiPriority w:val="30"/>
    <w:qFormat/>
    <w:rsid w:val="00067B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7B68"/>
    <w:rPr>
      <w:b/>
      <w:bCs/>
      <w:i/>
      <w:iCs/>
      <w:color w:val="4F81BD" w:themeColor="accent1"/>
    </w:rPr>
  </w:style>
  <w:style w:type="character" w:styleId="SubtleEmphasis">
    <w:name w:val="Subtle Emphasis"/>
    <w:basedOn w:val="DefaultParagraphFont"/>
    <w:uiPriority w:val="19"/>
    <w:qFormat/>
    <w:rsid w:val="00067B68"/>
    <w:rPr>
      <w:i/>
      <w:iCs/>
      <w:color w:val="808080" w:themeColor="text1" w:themeTint="7F"/>
    </w:rPr>
  </w:style>
  <w:style w:type="character" w:styleId="IntenseEmphasis">
    <w:name w:val="Intense Emphasis"/>
    <w:basedOn w:val="DefaultParagraphFont"/>
    <w:uiPriority w:val="21"/>
    <w:qFormat/>
    <w:rsid w:val="00067B68"/>
    <w:rPr>
      <w:b/>
      <w:bCs/>
      <w:i/>
      <w:iCs/>
      <w:color w:val="4F81BD" w:themeColor="accent1"/>
    </w:rPr>
  </w:style>
  <w:style w:type="character" w:styleId="SubtleReference">
    <w:name w:val="Subtle Reference"/>
    <w:basedOn w:val="DefaultParagraphFont"/>
    <w:uiPriority w:val="31"/>
    <w:qFormat/>
    <w:rsid w:val="00067B68"/>
    <w:rPr>
      <w:smallCaps/>
      <w:color w:val="C0504D" w:themeColor="accent2"/>
      <w:u w:val="single"/>
    </w:rPr>
  </w:style>
  <w:style w:type="character" w:styleId="IntenseReference">
    <w:name w:val="Intense Reference"/>
    <w:basedOn w:val="DefaultParagraphFont"/>
    <w:uiPriority w:val="32"/>
    <w:qFormat/>
    <w:rsid w:val="00067B68"/>
    <w:rPr>
      <w:b/>
      <w:bCs/>
      <w:smallCaps/>
      <w:color w:val="C0504D" w:themeColor="accent2"/>
      <w:spacing w:val="5"/>
      <w:u w:val="single"/>
    </w:rPr>
  </w:style>
  <w:style w:type="character" w:styleId="BookTitle">
    <w:name w:val="Book Title"/>
    <w:basedOn w:val="DefaultParagraphFont"/>
    <w:uiPriority w:val="33"/>
    <w:qFormat/>
    <w:rsid w:val="00067B68"/>
    <w:rPr>
      <w:b/>
      <w:bCs/>
      <w:smallCaps/>
      <w:spacing w:val="5"/>
    </w:rPr>
  </w:style>
  <w:style w:type="paragraph" w:styleId="TOCHeading">
    <w:name w:val="TOC Heading"/>
    <w:basedOn w:val="Heading1"/>
    <w:next w:val="Normal"/>
    <w:uiPriority w:val="39"/>
    <w:semiHidden/>
    <w:unhideWhenUsed/>
    <w:qFormat/>
    <w:rsid w:val="00067B68"/>
    <w:pPr>
      <w:outlineLvl w:val="9"/>
    </w:pPr>
  </w:style>
  <w:style w:type="character" w:customStyle="1" w:styleId="NoSpacingChar">
    <w:name w:val="No Spacing Char"/>
    <w:basedOn w:val="DefaultParagraphFont"/>
    <w:link w:val="NoSpacing"/>
    <w:uiPriority w:val="1"/>
    <w:rsid w:val="00067B68"/>
  </w:style>
  <w:style w:type="paragraph" w:customStyle="1" w:styleId="Default">
    <w:name w:val="Default"/>
    <w:rsid w:val="0025636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level5">
    <w:name w:val="level5"/>
    <w:rsid w:val="007D2069"/>
    <w:pPr>
      <w:tabs>
        <w:tab w:val="num" w:pos="1389"/>
      </w:tabs>
      <w:spacing w:after="0" w:line="240" w:lineRule="auto"/>
      <w:ind w:left="1389" w:hanging="453"/>
    </w:pPr>
    <w:rPr>
      <w:rFonts w:ascii="Times New Roman" w:eastAsia="Times New Roman" w:hAnsi="Times New Roman" w:cs="Times New Roman"/>
      <w:sz w:val="24"/>
      <w:szCs w:val="24"/>
      <w:lang w:val="en-GB"/>
    </w:rPr>
  </w:style>
  <w:style w:type="paragraph" w:customStyle="1" w:styleId="level6">
    <w:name w:val="level6"/>
    <w:rsid w:val="007D2069"/>
    <w:pPr>
      <w:tabs>
        <w:tab w:val="num" w:pos="1843"/>
      </w:tabs>
      <w:spacing w:before="120" w:after="0" w:line="240" w:lineRule="auto"/>
      <w:ind w:left="1843" w:hanging="454"/>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13A9B"/>
    <w:rPr>
      <w:sz w:val="16"/>
      <w:szCs w:val="16"/>
    </w:rPr>
  </w:style>
  <w:style w:type="paragraph" w:styleId="CommentText">
    <w:name w:val="annotation text"/>
    <w:basedOn w:val="Normal"/>
    <w:link w:val="CommentTextChar"/>
    <w:uiPriority w:val="99"/>
    <w:unhideWhenUsed/>
    <w:rsid w:val="00713A9B"/>
    <w:pPr>
      <w:spacing w:line="240" w:lineRule="auto"/>
    </w:pPr>
    <w:rPr>
      <w:sz w:val="20"/>
      <w:szCs w:val="20"/>
    </w:rPr>
  </w:style>
  <w:style w:type="character" w:customStyle="1" w:styleId="CommentTextChar">
    <w:name w:val="Comment Text Char"/>
    <w:basedOn w:val="DefaultParagraphFont"/>
    <w:link w:val="CommentText"/>
    <w:uiPriority w:val="99"/>
    <w:rsid w:val="00713A9B"/>
    <w:rPr>
      <w:sz w:val="20"/>
      <w:szCs w:val="20"/>
      <w:lang w:val="en-GB"/>
    </w:rPr>
  </w:style>
  <w:style w:type="paragraph" w:styleId="CommentSubject">
    <w:name w:val="annotation subject"/>
    <w:basedOn w:val="CommentText"/>
    <w:next w:val="CommentText"/>
    <w:link w:val="CommentSubjectChar"/>
    <w:uiPriority w:val="99"/>
    <w:semiHidden/>
    <w:unhideWhenUsed/>
    <w:rsid w:val="00713A9B"/>
    <w:rPr>
      <w:b/>
      <w:bCs/>
    </w:rPr>
  </w:style>
  <w:style w:type="character" w:customStyle="1" w:styleId="CommentSubjectChar">
    <w:name w:val="Comment Subject Char"/>
    <w:basedOn w:val="CommentTextChar"/>
    <w:link w:val="CommentSubject"/>
    <w:uiPriority w:val="99"/>
    <w:semiHidden/>
    <w:rsid w:val="00713A9B"/>
    <w:rPr>
      <w:b/>
      <w:bCs/>
      <w:sz w:val="20"/>
      <w:szCs w:val="20"/>
      <w:lang w:val="en-GB"/>
    </w:rPr>
  </w:style>
  <w:style w:type="paragraph" w:styleId="BalloonText">
    <w:name w:val="Balloon Text"/>
    <w:basedOn w:val="Normal"/>
    <w:link w:val="BalloonTextChar"/>
    <w:uiPriority w:val="99"/>
    <w:semiHidden/>
    <w:unhideWhenUsed/>
    <w:rsid w:val="0071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9B"/>
    <w:rPr>
      <w:rFonts w:ascii="Tahoma" w:hAnsi="Tahoma" w:cs="Tahoma"/>
      <w:sz w:val="16"/>
      <w:szCs w:val="16"/>
      <w:lang w:val="en-GB"/>
    </w:rPr>
  </w:style>
  <w:style w:type="paragraph" w:styleId="NormalWeb">
    <w:name w:val="Normal (Web)"/>
    <w:basedOn w:val="Normal"/>
    <w:uiPriority w:val="99"/>
    <w:unhideWhenUsed/>
    <w:rsid w:val="0054502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047F20"/>
    <w:rPr>
      <w:color w:val="0000FF" w:themeColor="hyperlink"/>
      <w:u w:val="single"/>
    </w:rPr>
  </w:style>
  <w:style w:type="paragraph" w:styleId="Revision">
    <w:name w:val="Revision"/>
    <w:hidden/>
    <w:uiPriority w:val="99"/>
    <w:semiHidden/>
    <w:rsid w:val="0068657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4401">
      <w:bodyDiv w:val="1"/>
      <w:marLeft w:val="0"/>
      <w:marRight w:val="0"/>
      <w:marTop w:val="0"/>
      <w:marBottom w:val="0"/>
      <w:divBdr>
        <w:top w:val="none" w:sz="0" w:space="0" w:color="auto"/>
        <w:left w:val="none" w:sz="0" w:space="0" w:color="auto"/>
        <w:bottom w:val="none" w:sz="0" w:space="0" w:color="auto"/>
        <w:right w:val="none" w:sz="0" w:space="0" w:color="auto"/>
      </w:divBdr>
      <w:divsChild>
        <w:div w:id="1609391913">
          <w:marLeft w:val="0"/>
          <w:marRight w:val="0"/>
          <w:marTop w:val="0"/>
          <w:marBottom w:val="0"/>
          <w:divBdr>
            <w:top w:val="none" w:sz="0" w:space="0" w:color="auto"/>
            <w:left w:val="none" w:sz="0" w:space="0" w:color="auto"/>
            <w:bottom w:val="none" w:sz="0" w:space="0" w:color="auto"/>
            <w:right w:val="none" w:sz="0" w:space="0" w:color="auto"/>
          </w:divBdr>
        </w:div>
        <w:div w:id="1148546696">
          <w:marLeft w:val="0"/>
          <w:marRight w:val="0"/>
          <w:marTop w:val="0"/>
          <w:marBottom w:val="0"/>
          <w:divBdr>
            <w:top w:val="none" w:sz="0" w:space="0" w:color="auto"/>
            <w:left w:val="none" w:sz="0" w:space="0" w:color="auto"/>
            <w:bottom w:val="none" w:sz="0" w:space="0" w:color="auto"/>
            <w:right w:val="none" w:sz="0" w:space="0" w:color="auto"/>
          </w:divBdr>
        </w:div>
        <w:div w:id="1996758687">
          <w:marLeft w:val="0"/>
          <w:marRight w:val="0"/>
          <w:marTop w:val="0"/>
          <w:marBottom w:val="0"/>
          <w:divBdr>
            <w:top w:val="none" w:sz="0" w:space="0" w:color="auto"/>
            <w:left w:val="none" w:sz="0" w:space="0" w:color="auto"/>
            <w:bottom w:val="none" w:sz="0" w:space="0" w:color="auto"/>
            <w:right w:val="none" w:sz="0" w:space="0" w:color="auto"/>
          </w:divBdr>
        </w:div>
        <w:div w:id="1105466156">
          <w:marLeft w:val="0"/>
          <w:marRight w:val="0"/>
          <w:marTop w:val="0"/>
          <w:marBottom w:val="0"/>
          <w:divBdr>
            <w:top w:val="none" w:sz="0" w:space="0" w:color="auto"/>
            <w:left w:val="none" w:sz="0" w:space="0" w:color="auto"/>
            <w:bottom w:val="none" w:sz="0" w:space="0" w:color="auto"/>
            <w:right w:val="none" w:sz="0" w:space="0" w:color="auto"/>
          </w:divBdr>
        </w:div>
      </w:divsChild>
    </w:div>
    <w:div w:id="126436597">
      <w:bodyDiv w:val="1"/>
      <w:marLeft w:val="0"/>
      <w:marRight w:val="0"/>
      <w:marTop w:val="0"/>
      <w:marBottom w:val="0"/>
      <w:divBdr>
        <w:top w:val="none" w:sz="0" w:space="0" w:color="auto"/>
        <w:left w:val="none" w:sz="0" w:space="0" w:color="auto"/>
        <w:bottom w:val="none" w:sz="0" w:space="0" w:color="auto"/>
        <w:right w:val="none" w:sz="0" w:space="0" w:color="auto"/>
      </w:divBdr>
    </w:div>
    <w:div w:id="133957715">
      <w:bodyDiv w:val="1"/>
      <w:marLeft w:val="0"/>
      <w:marRight w:val="0"/>
      <w:marTop w:val="0"/>
      <w:marBottom w:val="0"/>
      <w:divBdr>
        <w:top w:val="none" w:sz="0" w:space="0" w:color="auto"/>
        <w:left w:val="none" w:sz="0" w:space="0" w:color="auto"/>
        <w:bottom w:val="none" w:sz="0" w:space="0" w:color="auto"/>
        <w:right w:val="none" w:sz="0" w:space="0" w:color="auto"/>
      </w:divBdr>
    </w:div>
    <w:div w:id="764423546">
      <w:bodyDiv w:val="1"/>
      <w:marLeft w:val="0"/>
      <w:marRight w:val="0"/>
      <w:marTop w:val="0"/>
      <w:marBottom w:val="0"/>
      <w:divBdr>
        <w:top w:val="none" w:sz="0" w:space="0" w:color="auto"/>
        <w:left w:val="none" w:sz="0" w:space="0" w:color="auto"/>
        <w:bottom w:val="none" w:sz="0" w:space="0" w:color="auto"/>
        <w:right w:val="none" w:sz="0" w:space="0" w:color="auto"/>
      </w:divBdr>
      <w:divsChild>
        <w:div w:id="2021198833">
          <w:marLeft w:val="0"/>
          <w:marRight w:val="0"/>
          <w:marTop w:val="0"/>
          <w:marBottom w:val="0"/>
          <w:divBdr>
            <w:top w:val="none" w:sz="0" w:space="0" w:color="auto"/>
            <w:left w:val="none" w:sz="0" w:space="0" w:color="auto"/>
            <w:bottom w:val="none" w:sz="0" w:space="0" w:color="auto"/>
            <w:right w:val="none" w:sz="0" w:space="0" w:color="auto"/>
          </w:divBdr>
        </w:div>
        <w:div w:id="849878710">
          <w:marLeft w:val="0"/>
          <w:marRight w:val="0"/>
          <w:marTop w:val="0"/>
          <w:marBottom w:val="0"/>
          <w:divBdr>
            <w:top w:val="none" w:sz="0" w:space="0" w:color="auto"/>
            <w:left w:val="none" w:sz="0" w:space="0" w:color="auto"/>
            <w:bottom w:val="none" w:sz="0" w:space="0" w:color="auto"/>
            <w:right w:val="none" w:sz="0" w:space="0" w:color="auto"/>
          </w:divBdr>
        </w:div>
        <w:div w:id="1332367858">
          <w:marLeft w:val="0"/>
          <w:marRight w:val="0"/>
          <w:marTop w:val="0"/>
          <w:marBottom w:val="0"/>
          <w:divBdr>
            <w:top w:val="none" w:sz="0" w:space="0" w:color="auto"/>
            <w:left w:val="none" w:sz="0" w:space="0" w:color="auto"/>
            <w:bottom w:val="none" w:sz="0" w:space="0" w:color="auto"/>
            <w:right w:val="none" w:sz="0" w:space="0" w:color="auto"/>
          </w:divBdr>
        </w:div>
        <w:div w:id="1135872325">
          <w:marLeft w:val="0"/>
          <w:marRight w:val="0"/>
          <w:marTop w:val="0"/>
          <w:marBottom w:val="0"/>
          <w:divBdr>
            <w:top w:val="none" w:sz="0" w:space="0" w:color="auto"/>
            <w:left w:val="none" w:sz="0" w:space="0" w:color="auto"/>
            <w:bottom w:val="none" w:sz="0" w:space="0" w:color="auto"/>
            <w:right w:val="none" w:sz="0" w:space="0" w:color="auto"/>
          </w:divBdr>
        </w:div>
      </w:divsChild>
    </w:div>
    <w:div w:id="1059942947">
      <w:bodyDiv w:val="1"/>
      <w:marLeft w:val="0"/>
      <w:marRight w:val="0"/>
      <w:marTop w:val="0"/>
      <w:marBottom w:val="0"/>
      <w:divBdr>
        <w:top w:val="none" w:sz="0" w:space="0" w:color="auto"/>
        <w:left w:val="none" w:sz="0" w:space="0" w:color="auto"/>
        <w:bottom w:val="none" w:sz="0" w:space="0" w:color="auto"/>
        <w:right w:val="none" w:sz="0" w:space="0" w:color="auto"/>
      </w:divBdr>
    </w:div>
    <w:div w:id="1093623513">
      <w:bodyDiv w:val="1"/>
      <w:marLeft w:val="0"/>
      <w:marRight w:val="0"/>
      <w:marTop w:val="0"/>
      <w:marBottom w:val="0"/>
      <w:divBdr>
        <w:top w:val="none" w:sz="0" w:space="0" w:color="auto"/>
        <w:left w:val="none" w:sz="0" w:space="0" w:color="auto"/>
        <w:bottom w:val="none" w:sz="0" w:space="0" w:color="auto"/>
        <w:right w:val="none" w:sz="0" w:space="0" w:color="auto"/>
      </w:divBdr>
      <w:divsChild>
        <w:div w:id="572742668">
          <w:marLeft w:val="0"/>
          <w:marRight w:val="0"/>
          <w:marTop w:val="0"/>
          <w:marBottom w:val="0"/>
          <w:divBdr>
            <w:top w:val="none" w:sz="0" w:space="0" w:color="auto"/>
            <w:left w:val="none" w:sz="0" w:space="0" w:color="auto"/>
            <w:bottom w:val="none" w:sz="0" w:space="0" w:color="auto"/>
            <w:right w:val="none" w:sz="0" w:space="0" w:color="auto"/>
          </w:divBdr>
        </w:div>
        <w:div w:id="1286690882">
          <w:marLeft w:val="0"/>
          <w:marRight w:val="0"/>
          <w:marTop w:val="0"/>
          <w:marBottom w:val="0"/>
          <w:divBdr>
            <w:top w:val="none" w:sz="0" w:space="0" w:color="auto"/>
            <w:left w:val="none" w:sz="0" w:space="0" w:color="auto"/>
            <w:bottom w:val="none" w:sz="0" w:space="0" w:color="auto"/>
            <w:right w:val="none" w:sz="0" w:space="0" w:color="auto"/>
          </w:divBdr>
        </w:div>
        <w:div w:id="1990010244">
          <w:marLeft w:val="0"/>
          <w:marRight w:val="0"/>
          <w:marTop w:val="0"/>
          <w:marBottom w:val="0"/>
          <w:divBdr>
            <w:top w:val="none" w:sz="0" w:space="0" w:color="auto"/>
            <w:left w:val="none" w:sz="0" w:space="0" w:color="auto"/>
            <w:bottom w:val="none" w:sz="0" w:space="0" w:color="auto"/>
            <w:right w:val="none" w:sz="0" w:space="0" w:color="auto"/>
          </w:divBdr>
        </w:div>
      </w:divsChild>
    </w:div>
    <w:div w:id="1512722745">
      <w:bodyDiv w:val="1"/>
      <w:marLeft w:val="0"/>
      <w:marRight w:val="0"/>
      <w:marTop w:val="0"/>
      <w:marBottom w:val="0"/>
      <w:divBdr>
        <w:top w:val="none" w:sz="0" w:space="0" w:color="auto"/>
        <w:left w:val="none" w:sz="0" w:space="0" w:color="auto"/>
        <w:bottom w:val="none" w:sz="0" w:space="0" w:color="auto"/>
        <w:right w:val="none" w:sz="0" w:space="0" w:color="auto"/>
      </w:divBdr>
    </w:div>
    <w:div w:id="2002345885">
      <w:bodyDiv w:val="1"/>
      <w:marLeft w:val="0"/>
      <w:marRight w:val="0"/>
      <w:marTop w:val="0"/>
      <w:marBottom w:val="0"/>
      <w:divBdr>
        <w:top w:val="none" w:sz="0" w:space="0" w:color="auto"/>
        <w:left w:val="none" w:sz="0" w:space="0" w:color="auto"/>
        <w:bottom w:val="none" w:sz="0" w:space="0" w:color="auto"/>
        <w:right w:val="none" w:sz="0" w:space="0" w:color="auto"/>
      </w:divBdr>
      <w:divsChild>
        <w:div w:id="63797446">
          <w:marLeft w:val="0"/>
          <w:marRight w:val="0"/>
          <w:marTop w:val="0"/>
          <w:marBottom w:val="0"/>
          <w:divBdr>
            <w:top w:val="none" w:sz="0" w:space="0" w:color="auto"/>
            <w:left w:val="none" w:sz="0" w:space="0" w:color="auto"/>
            <w:bottom w:val="none" w:sz="0" w:space="0" w:color="auto"/>
            <w:right w:val="none" w:sz="0" w:space="0" w:color="auto"/>
          </w:divBdr>
          <w:divsChild>
            <w:div w:id="1420519865">
              <w:marLeft w:val="0"/>
              <w:marRight w:val="0"/>
              <w:marTop w:val="0"/>
              <w:marBottom w:val="0"/>
              <w:divBdr>
                <w:top w:val="none" w:sz="0" w:space="0" w:color="auto"/>
                <w:left w:val="none" w:sz="0" w:space="0" w:color="auto"/>
                <w:bottom w:val="none" w:sz="0" w:space="0" w:color="auto"/>
                <w:right w:val="none" w:sz="0" w:space="0" w:color="auto"/>
              </w:divBdr>
              <w:divsChild>
                <w:div w:id="1727610116">
                  <w:marLeft w:val="0"/>
                  <w:marRight w:val="0"/>
                  <w:marTop w:val="0"/>
                  <w:marBottom w:val="0"/>
                  <w:divBdr>
                    <w:top w:val="none" w:sz="0" w:space="0" w:color="auto"/>
                    <w:left w:val="none" w:sz="0" w:space="0" w:color="auto"/>
                    <w:bottom w:val="none" w:sz="0" w:space="0" w:color="auto"/>
                    <w:right w:val="none" w:sz="0" w:space="0" w:color="auto"/>
                  </w:divBdr>
                  <w:divsChild>
                    <w:div w:id="1152865559">
                      <w:marLeft w:val="0"/>
                      <w:marRight w:val="0"/>
                      <w:marTop w:val="0"/>
                      <w:marBottom w:val="0"/>
                      <w:divBdr>
                        <w:top w:val="none" w:sz="0" w:space="0" w:color="auto"/>
                        <w:left w:val="none" w:sz="0" w:space="0" w:color="auto"/>
                        <w:bottom w:val="none" w:sz="0" w:space="0" w:color="auto"/>
                        <w:right w:val="none" w:sz="0" w:space="0" w:color="auto"/>
                      </w:divBdr>
                      <w:divsChild>
                        <w:div w:id="224492624">
                          <w:marLeft w:val="0"/>
                          <w:marRight w:val="0"/>
                          <w:marTop w:val="0"/>
                          <w:marBottom w:val="0"/>
                          <w:divBdr>
                            <w:top w:val="none" w:sz="0" w:space="0" w:color="auto"/>
                            <w:left w:val="none" w:sz="0" w:space="0" w:color="auto"/>
                            <w:bottom w:val="none" w:sz="0" w:space="0" w:color="auto"/>
                            <w:right w:val="none" w:sz="0" w:space="0" w:color="auto"/>
                          </w:divBdr>
                          <w:divsChild>
                            <w:div w:id="628366912">
                              <w:marLeft w:val="0"/>
                              <w:marRight w:val="0"/>
                              <w:marTop w:val="0"/>
                              <w:marBottom w:val="0"/>
                              <w:divBdr>
                                <w:top w:val="none" w:sz="0" w:space="0" w:color="auto"/>
                                <w:left w:val="none" w:sz="0" w:space="0" w:color="auto"/>
                                <w:bottom w:val="none" w:sz="0" w:space="0" w:color="auto"/>
                                <w:right w:val="none" w:sz="0" w:space="0" w:color="auto"/>
                              </w:divBdr>
                              <w:divsChild>
                                <w:div w:id="110906998">
                                  <w:marLeft w:val="0"/>
                                  <w:marRight w:val="0"/>
                                  <w:marTop w:val="0"/>
                                  <w:marBottom w:val="0"/>
                                  <w:divBdr>
                                    <w:top w:val="none" w:sz="0" w:space="0" w:color="auto"/>
                                    <w:left w:val="none" w:sz="0" w:space="0" w:color="auto"/>
                                    <w:bottom w:val="none" w:sz="0" w:space="0" w:color="auto"/>
                                    <w:right w:val="none" w:sz="0" w:space="0" w:color="auto"/>
                                  </w:divBdr>
                                  <w:divsChild>
                                    <w:div w:id="1667051226">
                                      <w:marLeft w:val="0"/>
                                      <w:marRight w:val="0"/>
                                      <w:marTop w:val="0"/>
                                      <w:marBottom w:val="0"/>
                                      <w:divBdr>
                                        <w:top w:val="none" w:sz="0" w:space="0" w:color="auto"/>
                                        <w:left w:val="none" w:sz="0" w:space="0" w:color="auto"/>
                                        <w:bottom w:val="none" w:sz="0" w:space="0" w:color="auto"/>
                                        <w:right w:val="none" w:sz="0" w:space="0" w:color="auto"/>
                                      </w:divBdr>
                                      <w:divsChild>
                                        <w:div w:id="1921712220">
                                          <w:marLeft w:val="0"/>
                                          <w:marRight w:val="0"/>
                                          <w:marTop w:val="0"/>
                                          <w:marBottom w:val="0"/>
                                          <w:divBdr>
                                            <w:top w:val="none" w:sz="0" w:space="0" w:color="auto"/>
                                            <w:left w:val="none" w:sz="0" w:space="0" w:color="auto"/>
                                            <w:bottom w:val="none" w:sz="0" w:space="0" w:color="auto"/>
                                            <w:right w:val="none" w:sz="0" w:space="0" w:color="auto"/>
                                          </w:divBdr>
                                          <w:divsChild>
                                            <w:div w:id="10666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41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fa.d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fsa-pharma.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ansparency.efpia.eu/the-efpia-code-2" TargetMode="External"/><Relationship Id="rId5" Type="http://schemas.microsoft.com/office/2007/relationships/stylesWithEffects" Target="stylesWithEffects.xml"/><Relationship Id="rId15" Type="http://schemas.openxmlformats.org/officeDocument/2006/relationships/hyperlink" Target="http://www.pharma-transparenz.d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ransparency.efpia.eu/uploads/Modules/Documents/efpia-hcp-code-2014.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Issue date : Dd/mm/2016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58EEC0-19E5-4BC4-975A-AD25903A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3119</Words>
  <Characters>19654</Characters>
  <Application>Microsoft Office Word</Application>
  <DocSecurity>0</DocSecurity>
  <Lines>163</Lines>
  <Paragraphs>45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Methodological note - 2015</vt:lpstr>
      <vt:lpstr>Methodological note - 2015</vt:lpstr>
      <vt:lpstr/>
    </vt:vector>
  </TitlesOfParts>
  <Company>Takeda</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 - 2015</dc:title>
  <dc:subject>Accompanying  document for the public Transparency of Transfer of Value to Healthcare Professionals and HealthCare Organization in 2015</dc:subject>
  <dc:creator>Takeda local legal entity name</dc:creator>
  <cp:lastModifiedBy>Landbeck, Elisabeth</cp:lastModifiedBy>
  <cp:revision>6</cp:revision>
  <cp:lastPrinted>2017-06-28T08:08:00Z</cp:lastPrinted>
  <dcterms:created xsi:type="dcterms:W3CDTF">2017-06-15T12:07:00Z</dcterms:created>
  <dcterms:modified xsi:type="dcterms:W3CDTF">2017-06-28T08:08:00Z</dcterms:modified>
</cp:coreProperties>
</file>